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2023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 w:cs="仿宋"/>
          <w:kern w:val="0"/>
          <w:sz w:val="24"/>
          <w:szCs w:val="24"/>
          <w:lang w:eastAsia="zh-CN"/>
        </w:rPr>
        <w:t>青林回族维吾尔族乡人民政府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112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89.29%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1304.05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2327.89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仿宋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1617.72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570.34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办公费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4.公务接待费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5.维修（护）费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6.印刷费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7.邮电费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8.其他交通费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王明豪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2024.10.15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15673641220</w:t>
      </w:r>
      <w:r>
        <w:rPr>
          <w:rFonts w:ascii="仿宋" w:hAnsi="仿宋" w:eastAsia="仿宋" w:cs="仿宋"/>
          <w:sz w:val="22"/>
          <w:szCs w:val="22"/>
        </w:rPr>
        <w:t xml:space="preserve">  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I4Y2FkM2MxMzg1ZGQwOWFhNGZlMzhkNjg0ZG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0AF27FEB"/>
    <w:rsid w:val="25B135F7"/>
    <w:rsid w:val="2EF13BD1"/>
    <w:rsid w:val="39CB204B"/>
    <w:rsid w:val="3EFB7454"/>
    <w:rsid w:val="663143F9"/>
    <w:rsid w:val="67B01B0B"/>
    <w:rsid w:val="6CE51EC7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41"/>
    <w:basedOn w:val="5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13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2024-10-16T09:59:02Z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131A069E3B714788A83E4464A8A59176</vt:lpwstr>
  </property>
</Properties>
</file>