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4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kern w:val="0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cs="Times New Roman"/>
          <w:b/>
          <w:bCs/>
          <w:spacing w:val="-10"/>
          <w:kern w:val="0"/>
          <w:sz w:val="44"/>
          <w:szCs w:val="44"/>
        </w:rPr>
      </w:pPr>
      <w:r>
        <w:rPr>
          <w:rFonts w:ascii="宋体" w:hAnsi="宋体" w:cs="宋体"/>
          <w:b/>
          <w:bCs/>
          <w:spacing w:val="-10"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pacing w:val="-10"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bCs/>
          <w:spacing w:val="-10"/>
          <w:kern w:val="0"/>
          <w:sz w:val="44"/>
          <w:szCs w:val="44"/>
        </w:rPr>
        <w:t>年度</w:t>
      </w:r>
      <w:r>
        <w:rPr>
          <w:rFonts w:hint="eastAsia" w:ascii="宋体" w:hAnsi="宋体" w:cs="宋体"/>
          <w:b/>
          <w:bCs/>
          <w:spacing w:val="-10"/>
          <w:kern w:val="0"/>
          <w:sz w:val="44"/>
          <w:szCs w:val="44"/>
          <w:lang w:val="en-US" w:eastAsia="zh-CN"/>
        </w:rPr>
        <w:t>桃源县观音寺镇人民政府</w:t>
      </w:r>
      <w:r>
        <w:rPr>
          <w:rFonts w:hint="eastAsia" w:ascii="宋体" w:hAnsi="宋体" w:cs="宋体"/>
          <w:b/>
          <w:bCs/>
          <w:spacing w:val="-10"/>
          <w:kern w:val="0"/>
          <w:sz w:val="44"/>
          <w:szCs w:val="44"/>
        </w:rPr>
        <w:t>整体支出绩效自评报告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>一、部门概况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（一）机构、人员构成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桃源县观音寺镇人民政府内设机构包括：行政机构 1个（政府机关）、事业机构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个（财政所、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农业综合服务中心、政务服务中心、社会事务综合服务中心、综合行政执法大队</w:t>
      </w:r>
      <w:r>
        <w:rPr>
          <w:rFonts w:hint="eastAsia" w:ascii="仿宋" w:hAnsi="仿宋" w:eastAsia="仿宋" w:cs="仿宋"/>
          <w:kern w:val="0"/>
          <w:sz w:val="28"/>
          <w:szCs w:val="28"/>
        </w:rPr>
        <w:t>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截至202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年12月31日，桃源县观音寺镇人民政府编制人数8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人，较上年度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增加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人，年末实有人数7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人，较上年度增加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人。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（二）单位主要职责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</w:rPr>
        <w:t>制定和组织实施经济、科技和社会发展计划，制定资源开发技术改造和产业结构调整方案，组织指导好各业生产，搞好商品流通，协调好本乡与外地区的经济交流与合作，组织经济运行，促进经济发展。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28"/>
          <w:szCs w:val="28"/>
        </w:rPr>
        <w:t>制定并组织实施乡村建设规划，部署重点工程建设，地方道路建设及公共设施，水利设施的管理，负责土地、林木、水等自然资源和生态环境的保护，做好护林防护工作。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28"/>
          <w:szCs w:val="28"/>
        </w:rPr>
        <w:t>负责本行政区域内的民政、计划生育、文化教育、卫生、体育等社会公益事业的综合性工作，维护一切经济单位和个人的正当经济权益，取缔非法经济活动，调解和处理民事经济纠纷，打击刑事犯罪维护社会稳定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kern w:val="0"/>
          <w:sz w:val="28"/>
          <w:szCs w:val="28"/>
        </w:rPr>
        <w:t>抓好精神文明建设，丰富群众文化生活，提倡移风易俗，反对封建迷信，破除陈规陋习，树立社会主义新风尚。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</w:rPr>
        <w:t>完成上级政府交办的其他事项。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>二、部门财务情况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（一）部门整体支出情况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2023年度支出合计2987.71万元，其中：基本支出2264.97万元，占75.81%；项目支出722.73万元，占24.19%；上缴上级支出0万元，占0.00%；经营支出0万元，占0.00%；对附属单位补助支出0万元，占0.00%。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部门预算收支决算情况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</w:rPr>
        <w:t>年度财政拨款支出年初预算数为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2674.25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万元，财政拨款支出决算数为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2987.71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万元，完成年初预算的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111.69</w:t>
      </w:r>
      <w:r>
        <w:rPr>
          <w:rFonts w:hint="eastAsia" w:ascii="仿宋" w:hAnsi="仿宋" w:eastAsia="仿宋" w:cs="仿宋"/>
          <w:kern w:val="0"/>
          <w:sz w:val="28"/>
          <w:szCs w:val="28"/>
        </w:rPr>
        <w:t>%，其中：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一般公共服务支出（类）人大事务（款）代表工作（项）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0.84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大</w:t>
      </w:r>
      <w:r>
        <w:rPr>
          <w:rFonts w:hint="eastAsia" w:ascii="仿宋" w:hAnsi="仿宋" w:eastAsia="仿宋" w:cs="仿宋"/>
          <w:kern w:val="0"/>
          <w:sz w:val="28"/>
          <w:szCs w:val="28"/>
        </w:rPr>
        <w:t>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一般公共服务支出（类）政府办公厅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{室}</w:t>
      </w:r>
      <w:r>
        <w:rPr>
          <w:rFonts w:hint="eastAsia" w:ascii="仿宋" w:hAnsi="仿宋" w:eastAsia="仿宋" w:cs="仿宋"/>
          <w:kern w:val="0"/>
          <w:sz w:val="28"/>
          <w:szCs w:val="28"/>
        </w:rPr>
        <w:t>及相关机构事务（款）行政运行（项）。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469.84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万元，决算数小于年初预算数的主要原因是：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一般公共服务支出（类）政府办公厅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{室}</w:t>
      </w:r>
      <w:r>
        <w:rPr>
          <w:rFonts w:hint="eastAsia" w:ascii="仿宋" w:hAnsi="仿宋" w:eastAsia="仿宋" w:cs="仿宋"/>
          <w:kern w:val="0"/>
          <w:sz w:val="28"/>
          <w:szCs w:val="28"/>
        </w:rPr>
        <w:t>及相关机构事务（款）其他政府办公厅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{室}</w:t>
      </w:r>
      <w:r>
        <w:rPr>
          <w:rFonts w:hint="eastAsia" w:ascii="仿宋" w:hAnsi="仿宋" w:eastAsia="仿宋" w:cs="仿宋"/>
          <w:kern w:val="0"/>
          <w:sz w:val="28"/>
          <w:szCs w:val="28"/>
        </w:rPr>
        <w:t>及相关机构事务支出（项）。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19.18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一般公共服务支出（类）政府办公厅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{室}</w:t>
      </w:r>
      <w:r>
        <w:rPr>
          <w:rFonts w:hint="eastAsia" w:ascii="仿宋" w:hAnsi="仿宋" w:eastAsia="仿宋" w:cs="仿宋"/>
          <w:kern w:val="0"/>
          <w:sz w:val="28"/>
          <w:szCs w:val="28"/>
        </w:rPr>
        <w:t>及相关机构事务（款）信访事务（项）。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一般公共服务支出（类）发展与改革事务（款）其他发展与改革事务支出（项）。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一般公共服务支出（类）统计信息事务（款）其他统计信息事务支出（项）。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7.9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一般公共服务支出（类）财政事务（款）行政运行（项）。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438.66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一般公共服务支出（类）财政事务（款）其他财政事务支出（项）。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16.84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一般公共服务支出（类）审计事务（款）其他审计事务支出（项）。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一般公共服务支出（类）组织事务（款）公务员事务（项）。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1.32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11.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一般公共服务支出（类）组织事务（款）其他组织事务支出（项）。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0.12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12.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一般公共服务支出（类）统战事务（款）其他统战事务支出（项）。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3.00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13.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一般公共服务支出（类）其他共产党事务支出（款）其他共产党事务支出（项）。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0.0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14.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一般公共服务支出（类）其他一般公共服务支出（款）其他一般公共服务支出（项）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年初预算0万元，支出决算82.11万元，决算数大于年初预算数的主要原因是：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15.</w:t>
      </w:r>
      <w:r>
        <w:rPr>
          <w:rFonts w:hint="eastAsia" w:ascii="仿宋" w:hAnsi="仿宋" w:eastAsia="仿宋" w:cs="仿宋"/>
          <w:kern w:val="0"/>
          <w:sz w:val="28"/>
          <w:szCs w:val="28"/>
        </w:rPr>
        <w:t>国防支出（类）国防动员（款）人民防空（项）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年初预算0万元，支出决算8.00万元，决算数大于年初预算数的主要原因是：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16.</w:t>
      </w:r>
      <w:r>
        <w:rPr>
          <w:rFonts w:hint="eastAsia" w:ascii="仿宋" w:hAnsi="仿宋" w:eastAsia="仿宋" w:cs="仿宋"/>
          <w:kern w:val="0"/>
          <w:sz w:val="28"/>
          <w:szCs w:val="28"/>
        </w:rPr>
        <w:t>公共安全支出（类）公安（款）信息化建设（项）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年初预算0万元，支出决算8.6万元，决算数大于年初预算数的主要原因是：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17.</w:t>
      </w:r>
      <w:r>
        <w:rPr>
          <w:rFonts w:hint="eastAsia" w:ascii="仿宋" w:hAnsi="仿宋" w:eastAsia="仿宋" w:cs="仿宋"/>
          <w:kern w:val="0"/>
          <w:sz w:val="28"/>
          <w:szCs w:val="28"/>
        </w:rPr>
        <w:t>公共安全支出（类）强制隔离戒毒（款）强制隔离戒毒人员教育（项）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年初预算0万元，支出决算0.6万元，决算数大于年初预算数的主要原因是：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18.</w:t>
      </w:r>
      <w:r>
        <w:rPr>
          <w:rFonts w:hint="eastAsia" w:ascii="仿宋" w:hAnsi="仿宋" w:eastAsia="仿宋" w:cs="仿宋"/>
          <w:kern w:val="0"/>
          <w:sz w:val="28"/>
          <w:szCs w:val="28"/>
        </w:rPr>
        <w:t>教育支出（类）教育费附加安排的支出（款）其他教育费附加安排的支出（项）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年初预算0万元，支出决算5.00万元，决算数大于年初预算数的主要原因是：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19.文化旅游体育与传媒支出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（类）文化和旅游（款）其他文化和旅游支出（项）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年初预算0万元，支出决算26.67.00万元，决算数大于年初预算数的主要原因是：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20.文化旅游体育与传媒支出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（类）其他文化旅游体育与传媒支出（款）其他文化旅游体育与传媒支出（项）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年初预算0万元，支出决算16万元，决算数大于年初预算数的主要原因是：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21.社会保障和就业支出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（类）人力资源和社会保障管理事务（款）事业运行（项）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年初预算0万元，支出决算0.3万元，决算数大于年初预算数的主要原因是：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22.社会保障和就业支出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（类）民政管理事务（款）其他民政管理事务支出（项）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年初预算0万元，支出决算34.99万元，决算数大于年初预算数的主要原因是：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23.社会保障和就业支出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（类）行政事业单位养老支出（款）机关事业单位基本养老保险缴费支出（项）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年初预算0万元，支出决算38.52万元，决算数大于年初预算数的主要原因是：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24.社会保障和就业支出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（类）抚恤（款）死亡抚恤（项）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年初预算0万元，支出决算39.81万元，决算数大于年初预算数的主要原因是：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25.社会保障和就业支出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（类）抚恤（款）其他优抚支出（项）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年初预算0万元，支出决算22.6万元，决算数大于年初预算数的主要原因是：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26.社会保障和就业支出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（类）退役安置（款）其他退役安置支出（项）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年初预算0万元，支出决算0.32万元，决算数大于年初预算数的主要原因是：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27.社会保障和就业支出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（类）临时救助（款）临时救助支出（项）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年初预算0万元，支出决算2.49万元，决算数大于年初预算数的主要原因是：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28.社会保障和就业支出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（类）特困人员救助供养（款）农村特困人员救助供养支出（项）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年初预算0万元，支出决算17.25万元，决算数大于年初预算数的主要原因是：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29.社会保障和就业支出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（类）退役军人管理事务（款）事业运行（项）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年初预算0万元，支出决算30.74万元，决算数大于年初预算数的主要原因是：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30.社会保障和就业支出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（类）退役军人管理事务（款）其他退役军人事务管理支出（项）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年初预算0万元，支出决算2.16万元，决算数大于年初预算数的主要原因是：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31.卫生健康支出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（类）公共卫生（款）其他公共卫生支出（项）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年初预算0万元，支出决算13.00万元，决算数大于年初预算数的主要原因是：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32.卫生健康支出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（类）计划生育事务（款）其他计划生育事务支出（项）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年初预算0万元，支出决算1.98万元，决算数大于年初预算数的主要原因是：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33.卫生健康支出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（类）行政事业单位医疗（款）行政单位医疗（项）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年初预算15.97万元，支出决算15.97万元，占年初预算的100%，决算数等于年初预算数的主要原因是：专项合理开支。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34.卫生健康支出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（类）财政对基本医疗保险基金的补助（款）财政对城乡居民基本医疗保险基金的补助（项）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年初预算0万元，支出决算25.00万元，决算数大于年初预算数的主要原因是：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35.卫生健康支出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（类）优抚对象医疗（款）优抚对象医疗补助（项）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年初预算0万元，支出决算5.86万元，决算数大于年初预算数的主要原因是：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36.卫生健康支出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（类）优抚对象医疗（款）其他优抚对象医疗支出（项）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37.卫生健康支出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（类）医疗保障管理事务（款）其他医疗保障管理事务支出（项）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38.卫生健康支出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（类）其他卫生健康支出（款）其他卫生健康支出（项）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年初预算0万元，支出决算2.47万元，决算数大于年初预算数的主要原因是：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39.节能环保支出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（类）自然生态保护（款）农村环境保护（项）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年初预算0万元，支出决算2.32万元，决算数大于年初预算数的主要原因是：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40.节能环保支出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（类）自然生态保护（款）自然保护地（项）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年初预算0万元，支出决算13.63万元，决算数大于年初预算数的主要原因是：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41.城乡社区支出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（类）城乡社区公共设施（款）其他城乡社区公共设施支出（项）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年初预算0万元，支出决算65.19万元，决算数大于年初预算数的主要原因是：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42.城乡社区支出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（类）国有土地使用权出让收入安排的支出（款）其他国有土地使用权出让收入安排的支出（项）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年初预算0万元，支出决算0.30万元，决算数大于年初预算数的主要原因是：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43.城乡社区支出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（类）城市基础设施配套费安排的支出（款）其他城市基础设施配套费安排的支出（项）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年初预算0万元，支出决算2.1万元，决算数大于年初预算数的主要原因是：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44.城乡社区支出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（类）其他城乡社区支出（款）其他城乡社区支出（项）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年初预算0万元，支出决算65.19万元，决算数大于年初预算数的主要原因是：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45.农林水支出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（类）农业农村（款）行政运行（项）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年初预算0万元，支出决算347.83万元，决算数大于年初预算数的主要原因是：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46.农林水支出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（类）农业农村（款）事业运行（项）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年初预算0万元，支出决算259.75万元，决算数大于年初预算数的主要原因是：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47.农林水支出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（类）农业农村（款）防灾救灾（项）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48.农林水支出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（类）农业农村（款）农业生产发展（项）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年初预算0万元，支出决算13.88万元，决算数大于年初预算数的主要原因是：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49.农林水支出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（类）农业农村（款）农村社会事业（项）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年初预算0万元，支出决算59.72万元，决算数大于年初预算数的主要原因是：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50.农林水支出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（类）农业农村（款）其他农业农村支出（项）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年初预算0万元，支出决算5.18万元，决算数大于年初预算数的主要原因是：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51.农林水支出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（类）林业和草原（款）林业草原防灾减灾（项）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52.农林水支出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（类）林业和草原（款）其他林业和草原支出（项）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年初预算0万元，支出决算31.94万元，决算数大于年初预算数的主要原因是：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53.农林水支出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（类）水利（款）农村水利（项）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年初预算0万元，支出决算49.00万元，决算数大于年初预算数的主要原因是：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54.农林水支出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（类）巩固脱贫衔接乡村振兴（款）农村基础设施建设（项）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年初预算0万元，支出决算58.00万元，决算数大于年初预算数的主要原因是：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55.农林水支出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（类）巩固脱贫衔接乡村振兴（款）农村基础设施建设（项）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年初预算0万元，支出决算176.07万元，决算数大于年初预算数的主要原因是：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56.农林水支出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（类）农村综合改革（款）对村级公益事业建设的补助（项）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年初预算0万元，支出决算137.00万元，决算数大于年初预算数的主要原因是：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57.农林水支出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（类）农村综合改革（款）对村民委员会和村党支部的补助（项）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年初预算589.18万元，支出决算590.03万元，占100.14%，决算数大于年初预算数的主要原因是：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财政拨款增加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58.农林水支出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（类）农村综合改革（款）其他农村综合改革支出（项）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年初预算0万元，支出决算14.74万元，决算数大于年初预算数的主要原因是：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59.农林水支出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（类）其他农林水支出（款）化解其他公益性乡村债务支出（项）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年初预算0万元，支出决算5.00万元，决算数大于年初预算数的主要原因是：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60.交通运输支出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（类）公路水路运输（款）其他公路水路运输支出（项）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年初预算0万元，支出决算10.00万元，决算数大于年初预算数的主要原因是：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61.金融支出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（类）金融发展支出（款）其他金融发展支出（项）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62.自然资源海洋气象等支出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（类）自然资源事务（款）自然资源利用与保护（项）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年初预算0万元，支出决算6.63万元，决算数大于年初预算数的主要原因是：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63.自然资源海洋气象等支出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（类）自然资源事务（款）自然资源利用与保护（项）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年初预算0万元，支出决算10.33万元，决算数大于年初预算数的主要原因是：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64.自然资源海洋气象等支出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（类）自然资源事务（款）地质矿产资源与环境调查（项）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年初预算0万元，支出决算8.00万元，决算数大于年初预算数的主要原因是：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65.住房保障支出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（类）住房改革支出（款）住房公积金（项）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年初预算34.34万元，支出决算19.94万元，决算数小于年初预算数的主要原因是：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经费拨款减少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66.国有资本经营预算支出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（类）解决历史遗留问题及改革成本支出（款）国有企业退休人员社会化管理补助支出（项）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年初预算0万元，支出决算0.23万元，决算数大于年初预算数的主要原因是：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67.灾害防治及应急管理支出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（类）应急管理事务（款）安全监管（项）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年初预算0万元，支出决算2.30万元，决算数大于年初预算数的主要原因是：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68.灾害防治及应急管理支出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（类）消防救援事务（款）其他消防救援事务支出（项）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年初预算0万元，支出决算5.00万元，决算数大于年初预算数的主要原因是：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69.灾害防治及应急管理支出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（类）矿山安全（款）其他矿山安全支出（项）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年初预算0万元，支出决算20.00万元，决算数大于年初预算数的主要原因是：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70.灾害防治及应急管理支出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（类）自然灾害防治（款）其他自然灾害防治支出（项）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年初预算0万元，支出决算25万元，决算数大于年初预算数的主要原因是：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71.其他支出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（类）彩票公益金安排的支出（款）用于社会福利的彩票公益金支出（项）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年初预算0万元，支出决算18.00万元，决算数大于年初预算数的主要原因是：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三公经费”支出使用和管理情况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2023年度“三公”经费财政拨款支出预算为0.00万元，支出决算为3.38万元，完成预算的100.00%，其中：公务接待费支出预算为0.00万元，支出决算为3.38万元，完成预算的100.00%，决算数大于预算数的主要原因是财政拨款收入增加，与上年相比减少0.01万元，减少0.29%,减少的主要原因是厉行节约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>三、部门绩效目标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（一）部门绩效总目标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1.保证政府日常开支正常运行，组织经济运行，促进经济发展。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2.推进乡村振兴建设和巩固脱贫攻坚成果。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3.保障村级财务良性运转，制定并组织实施村镇建设工程规划。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4.保障社会治安，做好维稳工作。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年度部门绩效目标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产出指标：落实乡村振兴15个项目，确保18个村专项经费拨付，党建活动开展11次，机关事务正常运转率达到100%，基础设施工程验收合格率大于95%，发放惠农补贴资金2525.8万元，工作及时完成率达到100%，三公经费控制小于20万元，政府正常运行日常开支647.3万元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效益指标：农户收入增长达5%，惠农补贴惠及户数达7589户，保障社会稳定，新农合参保率达95%，松线虫防治项目完成，政府服务能力提升，环境知识培训覆盖18个村。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满意度指标：群众满意度大于95%，干部和职工满意度大于95%。</w:t>
      </w:r>
    </w:p>
    <w:p>
      <w:pPr>
        <w:pStyle w:val="2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绩效评价工作情况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年，我镇积极履职，强化管理，较好地完成了年度工作目标。通过加强预算收支管理，不断建立健全内部管理制度，梳理内部管理流程，部门整体支出管理水平得到提升。根据部门整体支出绩效自评表，我镇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年度绩效自评得分为9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8.2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分。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五、综合评价结果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根据部门整体支出绩效评价指标体系和绩效检查情况，综合得分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98.2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分（总分为100分），总体考核为优秀。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六、部门整体支出绩效情况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（一）产出指标完成情况：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乡村振兴项目完成20个，18个村专项经费全额拨付，党建活动开展达到10次，机关事务正常运转率达到100%，基础设施工程验收合格率100%，发放惠农补贴资金2356.39万元，工作及时完成率95%，三公经费3.38万元，政府正常运行日常开支637.32万元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效益指标完成情况：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农户收入增长达5%，惠农补贴惠及户数达7589户，保障社会稳定，新农合参保率达100%，松线虫防治项目完成，政府服务能力提升，环境知识培训覆盖18个村。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满意度指标完成情况：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群众满意度100%，干部和职工满意度100%。</w:t>
      </w:r>
    </w:p>
    <w:p>
      <w:pPr>
        <w:pStyle w:val="2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存在的主要问题及原因分析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管理制度不完善。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原因分析：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绩效管理相关制度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不健全，在业务活动中，绩效评价往往作为附件在项目活动中处于劣势地位，量化难度大，形式大于内容。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评价工作效益低。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原因分析：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绩效评价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覆盖面窄，评价工作与实际账务工作衔接不紧密，绩效评价对项目工程的影响程度较低，效益不高。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绩效目标不精准。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原因分析：乡镇业务繁杂，预算指标精细，则绩效目标在繁杂中求精细，编制难度较大，准确度不高，科学性和合理性存疑。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八、有关建议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（一）完善绩效管理制度。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全面公开绩效信息，接受社会公众监督；加强项目管理责任人的绩效意识，协调配合设置绩效目标，将绩效目标与资金分配持钩，确保绩效目标表填报更准确、全面。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2" w:leftChars="0" w:right="0" w:rightChars="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（二）加强评价结果应用。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将评价结果与实际业务挂钩，对绩效好的政策和项目原则上优先保障，对绩效一般的政策和项目要督促改进，对相关工作人员加强培训，提升评价的需求与质量。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（三）准确编制绩效目标。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预算指标设置应考虑乡镇的实际情况，适当将相关指标统筹合并。优先保障固定性的、相对刚性的费用支出项目，尽量压缩变动性、有控制空间的费用项目，进步提高预算编制的科学性、严谨性和可控性。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2024年10月16日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桃源县观音寺镇人民政府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CAF99"/>
    <w:multiLevelType w:val="singleLevel"/>
    <w:tmpl w:val="305CAF9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2EFEE41"/>
    <w:multiLevelType w:val="singleLevel"/>
    <w:tmpl w:val="32EFEE4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0D9D44C"/>
    <w:multiLevelType w:val="singleLevel"/>
    <w:tmpl w:val="50D9D44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56C8E8D"/>
    <w:multiLevelType w:val="singleLevel"/>
    <w:tmpl w:val="656C8E8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9CB19D2"/>
    <w:multiLevelType w:val="singleLevel"/>
    <w:tmpl w:val="79CB19D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MTdlMWMwNjgzZGNkZGMyY2MwZTUwYWRjMTI4YmYifQ=="/>
  </w:docVars>
  <w:rsids>
    <w:rsidRoot w:val="008E482A"/>
    <w:rsid w:val="003A28A3"/>
    <w:rsid w:val="008E482A"/>
    <w:rsid w:val="00CE0CB2"/>
    <w:rsid w:val="00F33FAD"/>
    <w:rsid w:val="00F46D8E"/>
    <w:rsid w:val="05D22E92"/>
    <w:rsid w:val="093E0B82"/>
    <w:rsid w:val="19B606BF"/>
    <w:rsid w:val="1A022ABD"/>
    <w:rsid w:val="28572C7D"/>
    <w:rsid w:val="2C195496"/>
    <w:rsid w:val="2C504970"/>
    <w:rsid w:val="2C6D71FE"/>
    <w:rsid w:val="2D545FBE"/>
    <w:rsid w:val="33CA2932"/>
    <w:rsid w:val="35527ED3"/>
    <w:rsid w:val="390A5826"/>
    <w:rsid w:val="3FA50C17"/>
    <w:rsid w:val="403B7875"/>
    <w:rsid w:val="466D08F6"/>
    <w:rsid w:val="4F265542"/>
    <w:rsid w:val="4FD5436F"/>
    <w:rsid w:val="52B03541"/>
    <w:rsid w:val="619E0170"/>
    <w:rsid w:val="67492622"/>
    <w:rsid w:val="6D130A28"/>
    <w:rsid w:val="7CF8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220" w:beforeLines="0" w:beforeAutospacing="0" w:after="210" w:afterLines="0" w:afterAutospacing="0" w:line="560" w:lineRule="exact"/>
      <w:ind w:firstLine="640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仿宋"/>
      <w:sz w:val="32"/>
    </w:rPr>
  </w:style>
  <w:style w:type="character" w:default="1" w:styleId="11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unhideWhenUsed/>
    <w:qFormat/>
    <w:uiPriority w:val="99"/>
    <w:pPr>
      <w:ind w:firstLine="420" w:firstLineChars="200"/>
    </w:pPr>
  </w:style>
  <w:style w:type="character" w:styleId="12">
    <w:name w:val="page number"/>
    <w:basedOn w:val="11"/>
    <w:qFormat/>
    <w:uiPriority w:val="99"/>
  </w:style>
  <w:style w:type="character" w:customStyle="1" w:styleId="13">
    <w:name w:val="Footer Char"/>
    <w:basedOn w:val="11"/>
    <w:link w:val="6"/>
    <w:semiHidden/>
    <w:qFormat/>
    <w:uiPriority w:val="99"/>
    <w:rPr>
      <w:rFonts w:cs="Calibri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8</Pages>
  <Words>2682</Words>
  <Characters>3119</Characters>
  <Lines>0</Lines>
  <Paragraphs>0</Paragraphs>
  <TotalTime>274</TotalTime>
  <ScaleCrop>false</ScaleCrop>
  <LinksUpToDate>false</LinksUpToDate>
  <CharactersWithSpaces>3203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2022-09-18T23:54:00Z</dcterms:created>
  <dc:creator>Administrator</dc:creator>
  <cp:lastModifiedBy>Administrator</cp:lastModifiedBy>
  <dcterms:modified xsi:type="dcterms:W3CDTF">2024-12-09T09:06:11Z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2E020DAC0A4142ADA5CD70669E6DADAA_13</vt:lpwstr>
  </property>
</Properties>
</file>