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rFonts w:hint="eastAsia"/>
          <w:b/>
          <w:bCs/>
          <w:highlight w:val="none"/>
          <w:lang w:val="en-US" w:eastAsia="zh-CN"/>
        </w:rPr>
      </w:pPr>
      <w:r>
        <w:rPr>
          <w:rFonts w:hint="eastAsia"/>
          <w:b/>
          <w:bCs/>
          <w:highlight w:val="none"/>
          <w:lang w:val="en-US" w:eastAsia="zh-CN"/>
        </w:rPr>
        <w:t>目 录</w:t>
      </w:r>
    </w:p>
    <w:p>
      <w:pPr>
        <w:pStyle w:val="style0"/>
        <w:rPr>
          <w:rFonts w:hint="eastAsia"/>
          <w:b/>
          <w:bCs/>
          <w:highlight w:val="none"/>
          <w:lang w:val="en-US" w:eastAsia="zh-CN"/>
        </w:rPr>
      </w:pPr>
      <w:r>
        <w:rPr>
          <w:rFonts w:hint="eastAsia"/>
          <w:b/>
          <w:bCs/>
          <w:highlight w:val="none"/>
          <w:lang w:val="en-US" w:eastAsia="zh-CN"/>
        </w:rPr>
        <w:t>第一部分 预算报告（略）</w:t>
      </w:r>
    </w:p>
    <w:p>
      <w:pPr>
        <w:pStyle w:val="style0"/>
        <w:rPr>
          <w:rFonts w:hint="eastAsia"/>
          <w:b/>
          <w:bCs/>
          <w:highlight w:val="none"/>
          <w:lang w:val="en-US" w:eastAsia="zh-CN"/>
        </w:rPr>
      </w:pPr>
      <w:r>
        <w:rPr>
          <w:rFonts w:hint="eastAsia"/>
          <w:b/>
          <w:bCs/>
          <w:highlight w:val="none"/>
          <w:lang w:val="en-US" w:eastAsia="zh-CN"/>
        </w:rPr>
        <w:t>第二部分 预算草案</w:t>
      </w:r>
    </w:p>
    <w:p>
      <w:pPr>
        <w:pStyle w:val="style0"/>
        <w:rPr>
          <w:rFonts w:hint="eastAsia"/>
          <w:b/>
          <w:bCs/>
          <w:highlight w:val="none"/>
          <w:lang w:val="en-US" w:eastAsia="zh-CN"/>
        </w:rPr>
      </w:pPr>
      <w:r>
        <w:rPr>
          <w:rFonts w:hint="eastAsia"/>
          <w:b/>
          <w:bCs/>
          <w:highlight w:val="none"/>
          <w:lang w:val="en-US" w:eastAsia="zh-CN"/>
        </w:rPr>
        <w:t>1、2023年一般公共预算收入表</w:t>
      </w:r>
    </w:p>
    <w:p>
      <w:pPr>
        <w:pStyle w:val="style0"/>
        <w:rPr>
          <w:rFonts w:hint="eastAsia"/>
          <w:b/>
          <w:bCs/>
          <w:highlight w:val="none"/>
          <w:lang w:val="en-US" w:eastAsia="zh-CN"/>
        </w:rPr>
      </w:pPr>
      <w:r>
        <w:rPr>
          <w:rFonts w:hint="eastAsia"/>
          <w:b/>
          <w:bCs/>
          <w:highlight w:val="none"/>
          <w:lang w:val="en-US" w:eastAsia="zh-CN"/>
        </w:rPr>
        <w:t>2、2023年一般公共预算支出表</w:t>
      </w:r>
    </w:p>
    <w:p>
      <w:pPr>
        <w:pStyle w:val="style0"/>
        <w:rPr>
          <w:rFonts w:hint="eastAsia"/>
          <w:b/>
          <w:bCs/>
          <w:highlight w:val="none"/>
          <w:lang w:val="en-US" w:eastAsia="zh-CN"/>
        </w:rPr>
      </w:pPr>
      <w:r>
        <w:rPr>
          <w:rFonts w:hint="eastAsia"/>
          <w:b/>
          <w:bCs/>
          <w:highlight w:val="none"/>
          <w:lang w:val="en-US" w:eastAsia="zh-CN"/>
        </w:rPr>
        <w:t>3、2023年一般公共预算本级支出表</w:t>
      </w:r>
    </w:p>
    <w:p>
      <w:pPr>
        <w:pStyle w:val="style0"/>
        <w:rPr>
          <w:rFonts w:hint="eastAsia"/>
          <w:b/>
          <w:bCs/>
          <w:highlight w:val="none"/>
          <w:lang w:val="en-US" w:eastAsia="zh-CN"/>
        </w:rPr>
      </w:pPr>
      <w:r>
        <w:rPr>
          <w:rFonts w:hint="eastAsia"/>
          <w:b/>
          <w:bCs/>
          <w:highlight w:val="none"/>
          <w:lang w:val="en-US" w:eastAsia="zh-CN"/>
        </w:rPr>
        <w:t>4、2023年一般公共预算本级基本支出表</w:t>
      </w:r>
    </w:p>
    <w:p>
      <w:pPr>
        <w:pStyle w:val="style0"/>
        <w:rPr>
          <w:rFonts w:hint="eastAsia"/>
          <w:b/>
          <w:bCs/>
          <w:highlight w:val="none"/>
          <w:lang w:val="en-US" w:eastAsia="zh-CN"/>
        </w:rPr>
      </w:pPr>
      <w:r>
        <w:rPr>
          <w:rFonts w:hint="eastAsia"/>
          <w:b/>
          <w:bCs/>
          <w:highlight w:val="none"/>
          <w:lang w:val="en-US" w:eastAsia="zh-CN"/>
        </w:rPr>
        <w:t>5、2023年一般公共预算税收返还和转移支付情况表</w:t>
      </w:r>
    </w:p>
    <w:p>
      <w:pPr>
        <w:pStyle w:val="style0"/>
        <w:rPr>
          <w:rFonts w:hint="eastAsia"/>
          <w:b/>
          <w:bCs/>
          <w:highlight w:val="none"/>
          <w:lang w:val="en-US" w:eastAsia="zh-CN"/>
        </w:rPr>
      </w:pPr>
      <w:r>
        <w:rPr>
          <w:rFonts w:hint="eastAsia"/>
          <w:b/>
          <w:bCs/>
          <w:highlight w:val="none"/>
          <w:lang w:val="en-US" w:eastAsia="zh-CN"/>
        </w:rPr>
        <w:t>6、2023年一般公共预算对下税收返还和转移支付分地区表</w:t>
      </w:r>
    </w:p>
    <w:p>
      <w:pPr>
        <w:pStyle w:val="style0"/>
        <w:rPr>
          <w:rFonts w:hint="eastAsia"/>
          <w:b/>
          <w:bCs/>
          <w:highlight w:val="none"/>
          <w:lang w:val="en-US" w:eastAsia="zh-CN"/>
        </w:rPr>
      </w:pPr>
      <w:r>
        <w:rPr>
          <w:rFonts w:hint="eastAsia"/>
          <w:b/>
          <w:bCs/>
          <w:highlight w:val="none"/>
          <w:lang w:val="en-US" w:eastAsia="zh-CN"/>
        </w:rPr>
        <w:t>7、2023年一般公共预算对下税收返还和转移支付分项目表</w:t>
      </w:r>
    </w:p>
    <w:p>
      <w:pPr>
        <w:pStyle w:val="style0"/>
        <w:rPr>
          <w:rFonts w:hint="eastAsia"/>
          <w:b/>
          <w:bCs/>
          <w:highlight w:val="none"/>
          <w:lang w:val="en-US" w:eastAsia="zh-CN"/>
        </w:rPr>
      </w:pPr>
      <w:r>
        <w:rPr>
          <w:rFonts w:hint="eastAsia"/>
          <w:b/>
          <w:bCs/>
          <w:highlight w:val="none"/>
          <w:lang w:val="en-US" w:eastAsia="zh-CN"/>
        </w:rPr>
        <w:t>8、2023年政府性基金预算收入表</w:t>
      </w:r>
    </w:p>
    <w:p>
      <w:pPr>
        <w:pStyle w:val="style0"/>
        <w:rPr>
          <w:rFonts w:hint="eastAsia"/>
          <w:b/>
          <w:bCs/>
          <w:highlight w:val="none"/>
          <w:lang w:val="en-US" w:eastAsia="zh-CN"/>
        </w:rPr>
      </w:pPr>
      <w:r>
        <w:rPr>
          <w:rFonts w:hint="eastAsia"/>
          <w:b/>
          <w:bCs/>
          <w:highlight w:val="none"/>
          <w:lang w:val="en-US" w:eastAsia="zh-CN"/>
        </w:rPr>
        <w:t>9、2023年政府性基金预算支出表</w:t>
      </w:r>
    </w:p>
    <w:p>
      <w:pPr>
        <w:pStyle w:val="style0"/>
        <w:rPr>
          <w:rFonts w:hint="eastAsia"/>
          <w:b/>
          <w:bCs/>
          <w:highlight w:val="none"/>
          <w:lang w:val="en-US" w:eastAsia="zh-CN"/>
        </w:rPr>
      </w:pPr>
      <w:r>
        <w:rPr>
          <w:rFonts w:hint="eastAsia"/>
          <w:b/>
          <w:bCs/>
          <w:highlight w:val="none"/>
          <w:lang w:val="en-US" w:eastAsia="zh-CN"/>
        </w:rPr>
        <w:t>10、2023年政府性基金预算本级支出表</w:t>
      </w:r>
    </w:p>
    <w:p>
      <w:pPr>
        <w:pStyle w:val="style0"/>
        <w:rPr>
          <w:rFonts w:hint="eastAsia"/>
          <w:b/>
          <w:bCs/>
          <w:highlight w:val="none"/>
          <w:lang w:val="en-US" w:eastAsia="zh-CN"/>
        </w:rPr>
      </w:pPr>
      <w:r>
        <w:rPr>
          <w:rFonts w:hint="eastAsia"/>
          <w:b/>
          <w:bCs/>
          <w:highlight w:val="none"/>
          <w:lang w:val="en-US" w:eastAsia="zh-CN"/>
        </w:rPr>
        <w:t>11、2023年政府性基金预算转移支付分项目表</w:t>
      </w:r>
    </w:p>
    <w:p>
      <w:pPr>
        <w:pStyle w:val="style0"/>
        <w:rPr>
          <w:rFonts w:hint="eastAsia"/>
          <w:b/>
          <w:bCs/>
          <w:highlight w:val="none"/>
          <w:lang w:val="en-US" w:eastAsia="zh-CN"/>
        </w:rPr>
      </w:pPr>
      <w:r>
        <w:rPr>
          <w:rFonts w:hint="eastAsia"/>
          <w:b/>
          <w:bCs/>
          <w:highlight w:val="none"/>
          <w:lang w:val="en-US" w:eastAsia="zh-CN"/>
        </w:rPr>
        <w:t>12、2023年政府性基金预算转移支付分地区表</w:t>
      </w:r>
    </w:p>
    <w:p>
      <w:pPr>
        <w:pStyle w:val="style0"/>
        <w:rPr>
          <w:rFonts w:hint="eastAsia"/>
          <w:b/>
          <w:bCs/>
          <w:highlight w:val="none"/>
          <w:lang w:val="en-US" w:eastAsia="zh-CN"/>
        </w:rPr>
      </w:pPr>
      <w:r>
        <w:rPr>
          <w:rFonts w:hint="eastAsia"/>
          <w:b/>
          <w:bCs/>
          <w:highlight w:val="none"/>
          <w:lang w:val="en-US" w:eastAsia="zh-CN"/>
        </w:rPr>
        <w:t>13、2023年国有资本经营预算收入表</w:t>
      </w:r>
    </w:p>
    <w:p>
      <w:pPr>
        <w:pStyle w:val="style0"/>
        <w:rPr>
          <w:rFonts w:hint="eastAsia"/>
          <w:b/>
          <w:bCs/>
          <w:highlight w:val="none"/>
          <w:lang w:val="en-US" w:eastAsia="zh-CN"/>
        </w:rPr>
      </w:pPr>
      <w:r>
        <w:rPr>
          <w:rFonts w:hint="eastAsia"/>
          <w:b/>
          <w:bCs/>
          <w:highlight w:val="none"/>
          <w:lang w:val="en-US" w:eastAsia="zh-CN"/>
        </w:rPr>
        <w:t>14、2023年国有资本经营预算支出表</w:t>
      </w:r>
    </w:p>
    <w:p>
      <w:pPr>
        <w:pStyle w:val="style0"/>
        <w:rPr>
          <w:rFonts w:hint="eastAsia"/>
          <w:b/>
          <w:bCs/>
          <w:highlight w:val="none"/>
          <w:lang w:val="en-US" w:eastAsia="zh-CN"/>
        </w:rPr>
      </w:pPr>
      <w:r>
        <w:rPr>
          <w:rFonts w:hint="eastAsia"/>
          <w:b/>
          <w:bCs/>
          <w:highlight w:val="none"/>
          <w:lang w:val="en-US" w:eastAsia="zh-CN"/>
        </w:rPr>
        <w:t>15、2023年国有资本经营预算本级支出表</w:t>
      </w:r>
    </w:p>
    <w:p>
      <w:pPr>
        <w:pStyle w:val="style0"/>
        <w:rPr>
          <w:rFonts w:hint="eastAsia"/>
          <w:b/>
          <w:bCs/>
          <w:highlight w:val="none"/>
          <w:lang w:val="en-US" w:eastAsia="zh-CN"/>
        </w:rPr>
      </w:pPr>
      <w:r>
        <w:rPr>
          <w:rFonts w:hint="eastAsia"/>
          <w:b/>
          <w:bCs/>
          <w:highlight w:val="none"/>
          <w:lang w:val="en-US" w:eastAsia="zh-CN"/>
        </w:rPr>
        <w:t>16、2023年国有资本经营对下安排预算转移支出表</w:t>
      </w:r>
    </w:p>
    <w:p>
      <w:pPr>
        <w:pStyle w:val="style0"/>
        <w:rPr>
          <w:rFonts w:hint="eastAsia"/>
          <w:b/>
          <w:bCs/>
          <w:highlight w:val="none"/>
          <w:lang w:val="en-US" w:eastAsia="zh-CN"/>
        </w:rPr>
      </w:pPr>
      <w:r>
        <w:rPr>
          <w:rFonts w:hint="eastAsia"/>
          <w:b/>
          <w:bCs/>
          <w:highlight w:val="none"/>
          <w:lang w:val="en-US" w:eastAsia="zh-CN"/>
        </w:rPr>
        <w:t>17、2023年社会保险基金预算收入表</w:t>
      </w:r>
    </w:p>
    <w:p>
      <w:pPr>
        <w:pStyle w:val="style0"/>
        <w:rPr>
          <w:rFonts w:hint="eastAsia"/>
          <w:b/>
          <w:bCs/>
          <w:highlight w:val="none"/>
          <w:lang w:val="en-US" w:eastAsia="zh-CN"/>
        </w:rPr>
      </w:pPr>
      <w:r>
        <w:rPr>
          <w:rFonts w:hint="eastAsia"/>
          <w:b/>
          <w:bCs/>
          <w:highlight w:val="none"/>
          <w:lang w:val="en-US" w:eastAsia="zh-CN"/>
        </w:rPr>
        <w:t>18、2023年社会保险基金预算支出表</w:t>
      </w:r>
      <w:bookmarkStart w:id="0" w:name="_GoBack"/>
      <w:bookmarkEnd w:id="0"/>
    </w:p>
    <w:p>
      <w:pPr>
        <w:pStyle w:val="style0"/>
        <w:rPr>
          <w:rFonts w:hint="default"/>
          <w:lang w:val="en-US" w:eastAsia="zh-CN"/>
        </w:rPr>
      </w:pPr>
      <w:r>
        <w:rPr>
          <w:rFonts w:hint="eastAsia"/>
          <w:b/>
          <w:bCs/>
          <w:highlight w:val="none"/>
          <w:lang w:val="en-US" w:eastAsia="zh-CN"/>
        </w:rPr>
        <w:t>19、2023年一般债务限额和余额情况表</w:t>
      </w:r>
    </w:p>
    <w:p>
      <w:pPr>
        <w:pStyle w:val="style0"/>
        <w:rPr>
          <w:rFonts w:hint="eastAsia"/>
          <w:b/>
          <w:bCs/>
          <w:highlight w:val="none"/>
          <w:lang w:val="en-US" w:eastAsia="zh-CN"/>
        </w:rPr>
      </w:pPr>
      <w:r>
        <w:rPr>
          <w:rFonts w:hint="eastAsia"/>
          <w:b/>
          <w:bCs/>
          <w:highlight w:val="none"/>
          <w:lang w:val="en-US" w:eastAsia="zh-CN"/>
        </w:rPr>
        <w:t>20、2023年专项债务限额和余额情况表</w:t>
      </w:r>
    </w:p>
    <w:p>
      <w:pPr>
        <w:pStyle w:val="style0"/>
        <w:rPr>
          <w:rFonts w:hint="eastAsia"/>
          <w:b/>
          <w:bCs/>
          <w:highlight w:val="none"/>
          <w:lang w:val="en-US" w:eastAsia="zh-CN"/>
        </w:rPr>
      </w:pPr>
      <w:r>
        <w:rPr>
          <w:rFonts w:hint="eastAsia"/>
          <w:b/>
          <w:bCs/>
          <w:highlight w:val="none"/>
          <w:lang w:val="en-US" w:eastAsia="zh-CN"/>
        </w:rPr>
        <w:t>21、2022年本地区政府债券还本付息额</w:t>
      </w:r>
    </w:p>
    <w:p>
      <w:pPr>
        <w:pStyle w:val="style0"/>
        <w:rPr>
          <w:rFonts w:hint="eastAsia"/>
          <w:b/>
          <w:bCs/>
          <w:highlight w:val="none"/>
          <w:lang w:val="en-US" w:eastAsia="zh-CN"/>
        </w:rPr>
      </w:pPr>
      <w:r>
        <w:rPr>
          <w:rFonts w:hint="eastAsia"/>
          <w:b/>
          <w:bCs/>
          <w:highlight w:val="none"/>
          <w:lang w:val="en-US" w:eastAsia="zh-CN"/>
        </w:rPr>
        <w:t>22、2023年地方政府政府债券还本付息预算数</w:t>
      </w:r>
    </w:p>
    <w:p>
      <w:pPr>
        <w:pStyle w:val="style0"/>
        <w:rPr>
          <w:rFonts w:hint="eastAsia"/>
          <w:b/>
          <w:bCs/>
          <w:highlight w:val="none"/>
          <w:lang w:val="en-US" w:eastAsia="zh-CN"/>
        </w:rPr>
      </w:pPr>
      <w:r>
        <w:rPr>
          <w:rFonts w:hint="eastAsia"/>
          <w:b/>
          <w:bCs/>
          <w:highlight w:val="none"/>
          <w:lang w:val="en-US" w:eastAsia="zh-CN"/>
        </w:rPr>
        <w:t>23、2023年一般公共预算“三公”经费预算表</w:t>
      </w:r>
    </w:p>
    <w:p>
      <w:pPr>
        <w:pStyle w:val="style0"/>
        <w:rPr>
          <w:rFonts w:hint="eastAsia"/>
          <w:b/>
          <w:bCs/>
          <w:highlight w:val="none"/>
          <w:lang w:val="en-US" w:eastAsia="zh-CN"/>
        </w:rPr>
      </w:pPr>
      <w:r>
        <w:rPr>
          <w:rFonts w:hint="eastAsia"/>
          <w:b/>
          <w:bCs/>
          <w:highlight w:val="none"/>
          <w:lang w:val="en-US" w:eastAsia="zh-CN"/>
        </w:rPr>
        <w:t>第三部分 相关说明</w:t>
      </w:r>
    </w:p>
    <w:p>
      <w:pPr>
        <w:pStyle w:val="style0"/>
        <w:rPr>
          <w:rFonts w:hint="eastAsia"/>
          <w:b/>
          <w:bCs/>
          <w:highlight w:val="none"/>
          <w:lang w:val="en-US" w:eastAsia="zh-CN"/>
        </w:rPr>
      </w:pPr>
    </w:p>
    <w:p>
      <w:pPr>
        <w:pStyle w:val="style0"/>
        <w:jc w:val="both"/>
        <w:rPr>
          <w:rStyle w:val="style87"/>
          <w:rFonts w:ascii="Helvetica" w:cs="Helvetica" w:eastAsia="Helvetica" w:hAnsi="Helvetica" w:hint="eastAsia"/>
          <w:bCs/>
          <w:i w:val="false"/>
          <w:iCs w:val="false"/>
          <w:caps w:val="false"/>
          <w:color w:val="333333"/>
          <w:spacing w:val="0"/>
          <w:kern w:val="0"/>
          <w:sz w:val="34"/>
          <w:szCs w:val="34"/>
          <w:highlight w:val="none"/>
          <w:shd w:val="clear" w:color="auto" w:fill="ffffff"/>
          <w:lang w:val="en-US" w:eastAsia="zh-CN"/>
        </w:rPr>
      </w:pPr>
      <w:r>
        <w:rPr>
          <w:rStyle w:val="style87"/>
          <w:rFonts w:ascii="Helvetica" w:cs="Helvetica" w:eastAsia="Helvetica" w:hAnsi="Helvetica" w:hint="eastAsia"/>
          <w:bCs/>
          <w:i w:val="false"/>
          <w:iCs w:val="false"/>
          <w:caps w:val="false"/>
          <w:color w:val="333333"/>
          <w:spacing w:val="0"/>
          <w:kern w:val="0"/>
          <w:sz w:val="34"/>
          <w:szCs w:val="34"/>
          <w:highlight w:val="none"/>
          <w:shd w:val="clear" w:color="auto" w:fill="ffffff"/>
          <w:lang w:val="en-US" w:eastAsia="zh-CN"/>
        </w:rPr>
        <w:t>第一部分 预算报告</w:t>
      </w:r>
    </w:p>
    <w:p>
      <w:pPr>
        <w:pStyle w:val="style0"/>
        <w:jc w:val="center"/>
        <w:rPr>
          <w:rFonts w:hint="eastAsia"/>
          <w:b/>
          <w:bCs/>
          <w:highlight w:val="none"/>
          <w:lang w:val="en-US" w:eastAsia="zh-CN"/>
        </w:rPr>
      </w:pP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0"/>
        <w:jc w:val="center"/>
        <w:rPr>
          <w:rFonts w:ascii="Helvetica" w:cs="Helvetica" w:eastAsia="Helvetica" w:hAnsi="Helvetica"/>
          <w:i w:val="false"/>
          <w:iCs w:val="false"/>
          <w:caps w:val="false"/>
          <w:color w:val="333333"/>
          <w:spacing w:val="0"/>
          <w:sz w:val="19"/>
          <w:szCs w:val="19"/>
          <w:highlight w:val="none"/>
        </w:rPr>
      </w:pPr>
      <w:r>
        <w:rPr>
          <w:rStyle w:val="style87"/>
          <w:rFonts w:ascii="Helvetica" w:cs="Helvetica" w:eastAsia="Helvetica" w:hAnsi="Helvetica" w:hint="default"/>
          <w:b/>
          <w:bCs/>
          <w:i w:val="false"/>
          <w:iCs w:val="false"/>
          <w:caps w:val="false"/>
          <w:color w:val="333333"/>
          <w:spacing w:val="0"/>
          <w:sz w:val="34"/>
          <w:szCs w:val="34"/>
          <w:highlight w:val="none"/>
          <w:shd w:val="clear" w:color="auto" w:fill="ffffff"/>
        </w:rPr>
        <w:t>关于桃源县202</w:t>
      </w:r>
      <w:r>
        <w:rPr>
          <w:rStyle w:val="style87"/>
          <w:rFonts w:ascii="Helvetica" w:cs="Helvetica" w:eastAsia="宋体" w:hAnsi="Helvetica" w:hint="eastAsia"/>
          <w:b/>
          <w:bCs/>
          <w:i w:val="false"/>
          <w:iCs w:val="false"/>
          <w:caps w:val="false"/>
          <w:color w:val="333333"/>
          <w:spacing w:val="0"/>
          <w:sz w:val="34"/>
          <w:szCs w:val="34"/>
          <w:highlight w:val="none"/>
          <w:shd w:val="clear" w:color="auto" w:fill="ffffff"/>
          <w:lang w:val="en-US" w:eastAsia="zh-CN"/>
        </w:rPr>
        <w:t>2</w:t>
      </w:r>
      <w:r>
        <w:rPr>
          <w:rStyle w:val="style87"/>
          <w:rFonts w:ascii="Helvetica" w:cs="Helvetica" w:eastAsia="Helvetica" w:hAnsi="Helvetica" w:hint="default"/>
          <w:b/>
          <w:bCs/>
          <w:i w:val="false"/>
          <w:iCs w:val="false"/>
          <w:caps w:val="false"/>
          <w:color w:val="333333"/>
          <w:spacing w:val="0"/>
          <w:sz w:val="34"/>
          <w:szCs w:val="34"/>
          <w:highlight w:val="none"/>
          <w:shd w:val="clear" w:color="auto" w:fill="ffffff"/>
        </w:rPr>
        <w:t>年预算执行情况与</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0"/>
        <w:jc w:val="center"/>
        <w:rPr>
          <w:rFonts w:ascii="Helvetica" w:cs="Helvetica" w:eastAsia="Helvetica" w:hAnsi="Helvetica" w:hint="default"/>
          <w:i w:val="false"/>
          <w:iCs w:val="false"/>
          <w:caps w:val="false"/>
          <w:color w:val="333333"/>
          <w:spacing w:val="0"/>
          <w:sz w:val="19"/>
          <w:szCs w:val="19"/>
          <w:highlight w:val="none"/>
        </w:rPr>
      </w:pPr>
      <w:r>
        <w:rPr>
          <w:rStyle w:val="style87"/>
          <w:rFonts w:ascii="Helvetica" w:cs="Helvetica" w:eastAsia="Helvetica" w:hAnsi="Helvetica" w:hint="default"/>
          <w:b/>
          <w:bCs/>
          <w:i w:val="false"/>
          <w:iCs w:val="false"/>
          <w:caps w:val="false"/>
          <w:color w:val="333333"/>
          <w:spacing w:val="0"/>
          <w:sz w:val="34"/>
          <w:szCs w:val="34"/>
          <w:highlight w:val="none"/>
          <w:shd w:val="clear" w:color="auto" w:fill="ffffff"/>
        </w:rPr>
        <w:t>202</w:t>
      </w:r>
      <w:r>
        <w:rPr>
          <w:rStyle w:val="style87"/>
          <w:rFonts w:ascii="Helvetica" w:cs="Helvetica" w:eastAsia="宋体" w:hAnsi="Helvetica" w:hint="eastAsia"/>
          <w:b/>
          <w:bCs/>
          <w:i w:val="false"/>
          <w:iCs w:val="false"/>
          <w:caps w:val="false"/>
          <w:color w:val="333333"/>
          <w:spacing w:val="0"/>
          <w:sz w:val="34"/>
          <w:szCs w:val="34"/>
          <w:highlight w:val="none"/>
          <w:shd w:val="clear" w:color="auto" w:fill="ffffff"/>
          <w:lang w:val="en-US" w:eastAsia="zh-CN"/>
        </w:rPr>
        <w:t>3</w:t>
      </w:r>
      <w:r>
        <w:rPr>
          <w:rStyle w:val="style87"/>
          <w:rFonts w:ascii="Helvetica" w:cs="Helvetica" w:eastAsia="Helvetica" w:hAnsi="Helvetica" w:hint="default"/>
          <w:b/>
          <w:bCs/>
          <w:i w:val="false"/>
          <w:iCs w:val="false"/>
          <w:caps w:val="false"/>
          <w:color w:val="333333"/>
          <w:spacing w:val="0"/>
          <w:sz w:val="34"/>
          <w:szCs w:val="34"/>
          <w:highlight w:val="none"/>
          <w:shd w:val="clear" w:color="auto" w:fill="ffffff"/>
        </w:rPr>
        <w:t>年县级预算（草案）的报告</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0"/>
        <w:jc w:val="center"/>
        <w:rPr>
          <w:rFonts w:ascii="Helvetica" w:cs="Helvetica" w:eastAsia="Helvetica" w:hAnsi="Helvetica" w:hint="default"/>
          <w:i w:val="false"/>
          <w:iCs w:val="false"/>
          <w:caps w:val="false"/>
          <w:color w:val="333333"/>
          <w:spacing w:val="0"/>
          <w:sz w:val="19"/>
          <w:szCs w:val="19"/>
          <w:highlight w:val="none"/>
        </w:rPr>
      </w:pPr>
      <w:r>
        <w:rPr>
          <w:rFonts w:ascii="Helvetica" w:cs="Helvetica" w:eastAsia="Helvetica" w:hAnsi="Helvetica" w:hint="default"/>
          <w:i w:val="false"/>
          <w:iCs w:val="false"/>
          <w:caps w:val="false"/>
          <w:color w:val="333333"/>
          <w:spacing w:val="0"/>
          <w:sz w:val="25"/>
          <w:szCs w:val="25"/>
          <w:highlight w:val="none"/>
          <w:shd w:val="clear" w:color="auto" w:fill="ffffff"/>
        </w:rPr>
        <w:t>——202</w:t>
      </w:r>
      <w:r>
        <w:rPr>
          <w:rFonts w:ascii="Helvetica" w:cs="Helvetica" w:eastAsia="宋体" w:hAnsi="Helvetica" w:hint="eastAsia"/>
          <w:i w:val="false"/>
          <w:iCs w:val="false"/>
          <w:caps w:val="false"/>
          <w:color w:val="333333"/>
          <w:spacing w:val="0"/>
          <w:sz w:val="25"/>
          <w:szCs w:val="25"/>
          <w:highlight w:val="none"/>
          <w:shd w:val="clear" w:color="auto" w:fill="ffffff"/>
          <w:lang w:val="en-US" w:eastAsia="zh-CN"/>
        </w:rPr>
        <w:t>3</w:t>
      </w:r>
      <w:r>
        <w:rPr>
          <w:rFonts w:ascii="Helvetica" w:cs="Helvetica" w:eastAsia="Helvetica" w:hAnsi="Helvetica" w:hint="default"/>
          <w:i w:val="false"/>
          <w:iCs w:val="false"/>
          <w:caps w:val="false"/>
          <w:color w:val="333333"/>
          <w:spacing w:val="0"/>
          <w:sz w:val="25"/>
          <w:szCs w:val="25"/>
          <w:highlight w:val="none"/>
          <w:shd w:val="clear" w:color="auto" w:fill="ffffff"/>
        </w:rPr>
        <w:t>年</w:t>
      </w:r>
      <w:r>
        <w:rPr>
          <w:rFonts w:ascii="Helvetica" w:cs="Helvetica" w:eastAsia="宋体" w:hAnsi="Helvetica" w:hint="eastAsia"/>
          <w:i w:val="false"/>
          <w:iCs w:val="false"/>
          <w:caps w:val="false"/>
          <w:color w:val="333333"/>
          <w:spacing w:val="0"/>
          <w:sz w:val="25"/>
          <w:szCs w:val="25"/>
          <w:highlight w:val="none"/>
          <w:shd w:val="clear" w:color="auto" w:fill="ffffff"/>
          <w:lang w:val="en-US" w:eastAsia="zh-CN"/>
        </w:rPr>
        <w:t>1</w:t>
      </w:r>
      <w:r>
        <w:rPr>
          <w:rFonts w:ascii="Helvetica" w:cs="Helvetica" w:eastAsia="Helvetica" w:hAnsi="Helvetica" w:hint="default"/>
          <w:i w:val="false"/>
          <w:iCs w:val="false"/>
          <w:caps w:val="false"/>
          <w:color w:val="333333"/>
          <w:spacing w:val="0"/>
          <w:sz w:val="25"/>
          <w:szCs w:val="25"/>
          <w:highlight w:val="none"/>
          <w:shd w:val="clear" w:color="auto" w:fill="ffffff"/>
        </w:rPr>
        <w:t>月</w:t>
      </w:r>
      <w:r>
        <w:rPr>
          <w:rFonts w:ascii="Helvetica" w:cs="Helvetica" w:eastAsia="宋体" w:hAnsi="Helvetica" w:hint="eastAsia"/>
          <w:i w:val="false"/>
          <w:iCs w:val="false"/>
          <w:caps w:val="false"/>
          <w:color w:val="333333"/>
          <w:spacing w:val="0"/>
          <w:sz w:val="25"/>
          <w:szCs w:val="25"/>
          <w:highlight w:val="none"/>
          <w:shd w:val="clear" w:color="auto" w:fill="ffffff"/>
          <w:lang w:val="en-US" w:eastAsia="zh-CN"/>
        </w:rPr>
        <w:t>4</w:t>
      </w:r>
      <w:r>
        <w:rPr>
          <w:rFonts w:ascii="Helvetica" w:cs="Helvetica" w:eastAsia="Helvetica" w:hAnsi="Helvetica" w:hint="default"/>
          <w:i w:val="false"/>
          <w:iCs w:val="false"/>
          <w:caps w:val="false"/>
          <w:color w:val="333333"/>
          <w:spacing w:val="0"/>
          <w:sz w:val="25"/>
          <w:szCs w:val="25"/>
          <w:highlight w:val="none"/>
          <w:shd w:val="clear" w:color="auto" w:fill="ffffff"/>
        </w:rPr>
        <w:t>日在桃源县第十八届人民代表大会</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ind w:left="0" w:right="0" w:firstLine="0"/>
        <w:jc w:val="center"/>
        <w:rPr>
          <w:rFonts w:ascii="Helvetica" w:cs="Helvetica" w:eastAsia="Helvetica" w:hAnsi="Helvetica" w:hint="default"/>
          <w:i w:val="false"/>
          <w:iCs w:val="false"/>
          <w:caps w:val="false"/>
          <w:color w:val="333333"/>
          <w:spacing w:val="0"/>
          <w:sz w:val="19"/>
          <w:szCs w:val="19"/>
          <w:highlight w:val="none"/>
        </w:rPr>
      </w:pPr>
      <w:r>
        <w:rPr>
          <w:rFonts w:ascii="Helvetica" w:cs="Helvetica" w:eastAsia="Helvetica" w:hAnsi="Helvetica" w:hint="default"/>
          <w:i w:val="false"/>
          <w:iCs w:val="false"/>
          <w:caps w:val="false"/>
          <w:color w:val="333333"/>
          <w:spacing w:val="0"/>
          <w:sz w:val="25"/>
          <w:szCs w:val="25"/>
          <w:highlight w:val="none"/>
          <w:shd w:val="clear" w:color="auto" w:fill="ffffff"/>
        </w:rPr>
        <w:t>第</w:t>
      </w:r>
      <w:r>
        <w:rPr>
          <w:rFonts w:ascii="Helvetica" w:cs="Helvetica" w:eastAsia="宋体" w:hAnsi="Helvetica" w:hint="eastAsia"/>
          <w:i w:val="false"/>
          <w:iCs w:val="false"/>
          <w:caps w:val="false"/>
          <w:color w:val="333333"/>
          <w:spacing w:val="0"/>
          <w:sz w:val="25"/>
          <w:szCs w:val="25"/>
          <w:highlight w:val="none"/>
          <w:shd w:val="clear" w:color="auto" w:fill="ffffff"/>
          <w:lang w:val="en-US" w:eastAsia="zh-CN"/>
        </w:rPr>
        <w:t>三</w:t>
      </w:r>
      <w:r>
        <w:rPr>
          <w:rFonts w:ascii="Helvetica" w:cs="Helvetica" w:eastAsia="Helvetica" w:hAnsi="Helvetica" w:hint="default"/>
          <w:i w:val="false"/>
          <w:iCs w:val="false"/>
          <w:caps w:val="false"/>
          <w:color w:val="333333"/>
          <w:spacing w:val="0"/>
          <w:sz w:val="25"/>
          <w:szCs w:val="25"/>
          <w:highlight w:val="none"/>
          <w:shd w:val="clear" w:color="auto" w:fill="ffffff"/>
        </w:rPr>
        <w:t>次会议上</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0"/>
        <w:jc w:val="center"/>
        <w:rPr>
          <w:rFonts w:ascii="Helvetica" w:cs="Helvetica" w:eastAsia="Helvetica" w:hAnsi="Helvetica" w:hint="default"/>
          <w:i w:val="false"/>
          <w:iCs w:val="false"/>
          <w:caps w:val="false"/>
          <w:color w:val="333333"/>
          <w:spacing w:val="0"/>
          <w:sz w:val="19"/>
          <w:szCs w:val="19"/>
          <w:highlight w:val="none"/>
        </w:rPr>
      </w:pPr>
      <w:r>
        <w:rPr>
          <w:rFonts w:ascii="Helvetica" w:cs="Helvetica" w:eastAsia="Helvetica" w:hAnsi="Helvetica" w:hint="default"/>
          <w:i w:val="false"/>
          <w:iCs w:val="false"/>
          <w:caps w:val="false"/>
          <w:color w:val="333333"/>
          <w:spacing w:val="0"/>
          <w:sz w:val="25"/>
          <w:szCs w:val="25"/>
          <w:highlight w:val="none"/>
          <w:shd w:val="clear" w:color="auto" w:fill="ffffff"/>
        </w:rPr>
        <w:t>桃源县财政局局长   文承喜</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0"/>
        <w:rPr>
          <w:rFonts w:ascii="Helvetica" w:cs="Helvetica" w:eastAsia="Helvetica" w:hAnsi="Helvetica" w:hint="default"/>
          <w:i w:val="false"/>
          <w:iCs w:val="false"/>
          <w:caps w:val="false"/>
          <w:color w:val="333333"/>
          <w:spacing w:val="0"/>
          <w:sz w:val="19"/>
          <w:szCs w:val="19"/>
          <w:highlight w:val="none"/>
        </w:rPr>
      </w:pPr>
      <w:r>
        <w:rPr>
          <w:rFonts w:ascii="Helvetica" w:cs="Helvetica" w:eastAsia="Helvetica" w:hAnsi="Helvetica" w:hint="default"/>
          <w:i w:val="false"/>
          <w:iCs w:val="false"/>
          <w:caps w:val="false"/>
          <w:color w:val="333333"/>
          <w:spacing w:val="0"/>
          <w:sz w:val="25"/>
          <w:szCs w:val="25"/>
          <w:highlight w:val="none"/>
          <w:shd w:val="clear" w:color="auto" w:fill="ffffff"/>
        </w:rPr>
        <w:t> </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各位代表：</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我受县人民政府委托，向大会报告我县2022年预算执行情况与2023年县级预算（草案），请予审议，并请各位政协委员和其他列席人员提出意见。</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一、2022年预算执行情况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2022年是我国进入全面建设社会主义现代化国家，向第二个百年奋斗目标进军新征程的重要一年。一年来，面对新冠疫情和经济下行影响，全县上下坚持以习近平新时代中国特色社会主义思想为指导，在县委、县政府的坚强领导和县人大、县政协监督支持下，认真贯彻落实第十八届人民代表大会第二次会议确定的目标，大力推进“一三五”发展战略，有效统筹疫情防控和经济社会发展，扎实做好“六稳”工作，严格落实“六保”任务，经济运行平稳健康，财政收支基本平衡。</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（一）一般公共预算</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1. 预算收入执行情况。2022年，全县一般公共预算收入完成259878万元，为预算（含预算调整，下同）的90.19%，较上年增长4.66%。其中：税收收入203956万元（含留抵退税），为预算的90.59%，比上年增长0.56%。地方一般公共预算收入完成174354万元，为预算的95.13%，比上年增长14.05%。其中：税收收入118432万元，为预算的98.46%，比上年增长10.28%；非税收入55922万元，为预算的88.77%，比上年增长22.94%，主要是国有资产处置收入有较大增加。非税收入占地方收入比重为32.07%。</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 预算支出执行情况。2022年，全县一般公共预算支出完成847090万元，比上年增长13.37%。主要科目支出情况为：一般公共服务支出57508万元，增长29.82%，主要是2022年基础绩效按上级政策按月发放；公共安全支出24034万元，增长30%，主要是上年结转的公安局三所一队、业务用房等基本建设项目支出今年列支；教育支出133105万元，增长21.87%，主要是基础绩效按月发放以及一般债券安排的学校建设资金增多；科学技术支出13146万元，同口径增长8.4%；文化体育与传媒支出5372万元，增长2.89%；社会保障和就业支出124981万元，增长10.27%；卫生健康支出91291万元，增长6.96%；节能环保支出33212万元，同口径增长73.08%，主要是本级安排的环境整治项目增多；城乡社区事务支出77749万元，减少0.02%；农林水事务支出169219万元，增长13.57%；交通运输支出34472万元，减少11.46%；资源勘探信息等支出17455万元，增长34.6%，主要是上级专项转移支出增多；商业服务业等支出2587万元，增长55.56%，主要是上级专项转移支出增多；自然资源海洋气象等支出8575万元，同口径增长8.32%；住房保障支出33682万元，减少19.86%，主要是部分建设项目支出进度较慢；粮油物资储备支出2066万元，减少7.4%；灾害防治及应急管理支出3910万元，增长67.38%，主要是今年地质灾害受损严重，安排的相关支出较多；其他支出2885万元，同口径相比减少2.68%；债务付息支出10707万元，增长4.77%。</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根据《预算法》第四十条规定，各级一般公共预算应当按照本级一般公共预算支出额的百分之一至百分之三设置预备费，用于当年预算执行中的自然灾害等突发事件处理增加的支出及其他难以预见的开支。经县第十八届人大第二次会议审议批准，2022年我县安排预备费8000万元，主要用于以下4个方面：（1）农村基础设施等乡村振兴支出2425万元；（2）环境整治等美丽乡村建设1689万元；（3）重点工作以及各种专题活动支出2917万元；（4）自然灾害基础设施恢复、重建等其他支出969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3. 收支平衡情况。经初步测算，县级地方收入174354万元加上上级补助收入、一般债券转贷收入、调入资金和上年结余，减去本年支出847090万元、上解上级支出、债务还本支出和结转下年支出后，收支平衡。</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（二）政府性基金预算</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2022年，全县政府性基金收入完成348054万元，为预算的84.35%，主要是房地产业不景气导致土地出让收入减少。其中：国有土地使用权出让收入完成318254万元、其他政府性基金收入完成18115万元、专项债券对应项目专项收入11685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2022年，政府性基金支出完成387080万元，其中：社会保障和就业支出2862万元；文化旅游体育与传媒支出13万元；城乡社区支出187472万元，主要是国有土地出让收入安排的支出；其他支出182856万元，主要是专项债券支出；债务付息支出13846万元；上年结转特别国债安排的支出31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经初步测算，政府性基金收入348054万元，加上上级补助收入、专项债券转贷收入和上年结余，减去本年政府性基金支出387080万元、上解上级支出、调出至一般公共预算以及结转下年支出后，收支平衡。</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（三）社会保险基金预算</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2022年，城乡居民基本养老保险、机关养老保险、失业保险等三项社会保险基金收入完成103987万元，为预算108207万元的96.1%，其中：保险费收入47306万元、利息收入194万元、财政补贴收入55037万元、转移收入1395万元、其他收入55万元。社会保险基金支出完成92749万元，为预算92112万元的100.69%，其中：社会保险待遇支出89802万元、转移支出1554万元、上解上级支出166万元、稳岗补贴支出384万、其他支出843万元（主要是退还试点政策期间个人缴费本息）。收支相抵，当年结余11238万元，加上上年结余64401万元，滚存结余75639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（四）国有资本经营预算</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宋体" w:hAnsi="Helvetica" w:hint="default"/>
          <w:i w:val="false"/>
          <w:iCs w:val="false"/>
          <w:caps w:val="false"/>
          <w:color w:val="333333"/>
          <w:spacing w:val="0"/>
          <w:sz w:val="25"/>
          <w:szCs w:val="25"/>
          <w:highlight w:val="none"/>
          <w:shd w:val="clear" w:color="auto" w:fill="ffffff"/>
          <w:lang w:val="en-US" w:eastAsia="zh-CN"/>
        </w:rPr>
      </w:pPr>
      <w:r>
        <w:rPr>
          <w:rFonts w:ascii="Helvetica" w:cs="Helvetica" w:eastAsia="宋体" w:hAnsi="Helvetica" w:hint="eastAsia"/>
          <w:i w:val="false"/>
          <w:iCs w:val="false"/>
          <w:caps w:val="false"/>
          <w:color w:val="333333"/>
          <w:spacing w:val="0"/>
          <w:sz w:val="25"/>
          <w:szCs w:val="25"/>
          <w:highlight w:val="none"/>
          <w:shd w:val="clear" w:color="auto" w:fill="ffffff"/>
          <w:lang w:val="en-US" w:eastAsia="zh-CN"/>
        </w:rPr>
        <w:t>2022年，国有资本经营预算收入完成170万元，为预算的115.21%，其中，利润收入120万元，上级转移支付收入50万元。国有资本经营预算支出完成50万元，为预算的33.88%，全部为上级转移支付收入安排的国有企业人员社会管理补助支出。收支相抵，当年结余120万元（结转下年支出）。</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（五）政府债务情况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2022年，我县地方政府债务限额为904625万元，与2021年相比新增债务限额207100万元，其中：新增一般债券24600万元、新增专项债券181500万元、新增外贷1000万元。截止2022年12月底，我县实际政府债务余额为895320万元，全部为上级发行的政府债券和外贷，且在地方政府债务限额以内。上述政府债务按国务院规定口径统计。</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需要说明的是，目前省市结算对账正在进行，上述五个方面的有关数据为12月快报数，在决算编制汇总后会有部分变化，届时再按程序向人大常委会报告。</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2022年，我们在县委、县政府正确领导下，认真贯彻落实中央和省市决策部署，不断完善制度机制，强化预算约束，扎实兜牢“三保”底线，着力推动县域经济社会健康平稳发展。主要抓了四个方面的工作：</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1. 强化收入征管，着力挖潜增收</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一是加强税收征管。推行税收征收目标考核责任制，建立税收征管“月调度、季会商”制度，紧盯重点税源、重点行业、重点税种，实行倒排工期、挂图作战，确保应收尽收、应缴尽缴。2022年，在经济下行、疫情影响情况下，县级税收仍能实现逆势增长，县级税收与上年相比增长10.28%。二是扩展收入来源。结合环境整治有序推进沅江尾堆清理废弃物处置，实现处置收入3300万元；整合矿产资源有力推动矿权出让，仅热市太平寺矿权出让实现收入36600万元，净收益10980万元。三是盘活存量资金。清理各种专户资金、结转结余资金，有效盘活存量资金支持重点领域发展，2022年累计盘活存量资金6922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 统筹有限财力，落实民生保障</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全力以赴兜住基本民生底线，全面落实普惠性、基础性民生政策。一是优先保障教育事业发展。整合上级资金优先落实教育建设资金，2022年安排教育建设经费29492万元，其中：文津学校建设15792万元，校舍维修改造1603万元、义务教育薄改3222万元、楚怡中职学校建设4000万元、学前教育建设675万元、教育建设偿债4200万元等。新增财力重点提高教育系统人员支出保障标准，义务教育教师实行基础绩效和考核绩效全额保障。二是足额保障社保就业支出。安排城乡低保、临时救助、特困供养、军人优抚、城乡居民养老等社会保障和就业支出124981万元，比上年度增加10.27%。三是全力保障医疗卫生投入。改善基本公共卫生服务及能力提升投入资金18425万元；落实城乡居民和职工基本医疗保险基金补助48563万元，其中县级配套7498万元；设立新冠疫情防控专项，累计安排疫情防控专项资金8000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3. 争取政策支持，释缓支出压力</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为应对经济下行，稳住经济大盘，今年中央决定实施“留抵退税”，同时加大基层财政运转财力补助额度，扩大专项债发行力度。对此，我们认真研究上级政策，主动汇报、积极争取，通过向上争资争项释缓财政支出压力。2022年，争取债券资金206100万元，其中：新增一般债券24600万元、新增专项债券181500万元；争取上级新增财力性转移支付23826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4. 加强财政管理，提高理财能力</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拓宽财政监管广度和深度，将财政监管水平提升到一个新高度。规范乡村财务管理，继续推进实施乡村财务规范管理提升年活动，先后集中组织2次大规模的专项检查及业务指导，涉及28个乡镇（街道）和112个村级组织。建立国有资产管理信息数据库，进一步规范国有资产划转、出租、变现、报废等流程，实现了常态化和规范化管理目标。严格项目预决算评审制度，全年财政投资评审项目674个，审定金额236262万元，审减净额38034万元，审减率达13.87%。加强政府采购管理，规范政府采购行为，充分发挥政府采购政策功能，2022年实施政府采购业务172批次，采购资金39685万元，资金节约3572万元，节约率9%。</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uto" w:line="240"/>
        <w:ind w:left="0" w:right="0" w:firstLine="500" w:firstLineChars="200"/>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在看到成绩的同时，我们也清醒地认识到，当前全县财政收支平衡难度进一步加大，收入结构不优、质量不高，支出精准性和有效性仍有待加强；政府债务还本付息压力进一步加大，债务风险防控任务依然十分艰巨。针对这些问题，我们在今后的工作中将进一步加大财源培植力度，优化支出结构，完善管理机制，提高管理水平，确保财政持续稳健运行。</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二、2023年预算草案</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（一）指导思想</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坚持以习近平新时代中国特色社会主义思想为指导，全面贯彻党的二十大和中央经济工作会议精神，坚持“稳字当头、稳中求进”工作总基调，优化预算编审机制、深化预算绩效管理、全面推进预算管理一体化，逐步建立“规范透明、标准科学、约束有力、绩效先行”的预算编制管理体系。</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（二）主要措施</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1. 加强预算统筹力度，提高财政保障能力。深化收入全口径管理，如实反映非财政拨款收入，做好资金统筹安排，科学编制收入预算。规范结转结余资金使用，加大存量资金盘活力度，定期清理部门结余资金，其中：基本运行结余指标年终一律不再结转，结转一年以上的县本级项目资金指标全额收回。</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宋体" w:hAnsi="Helvetica" w:hint="eastAsia"/>
          <w:i w:val="false"/>
          <w:iCs w:val="false"/>
          <w:caps w:val="false"/>
          <w:color w:val="333333"/>
          <w:spacing w:val="0"/>
          <w:sz w:val="25"/>
          <w:szCs w:val="25"/>
          <w:highlight w:val="none"/>
          <w:shd w:val="clear" w:color="auto" w:fill="ffffff"/>
          <w:lang w:eastAsia="zh-CN"/>
        </w:rPr>
      </w:pPr>
      <w:r>
        <w:rPr>
          <w:rFonts w:ascii="Helvetica" w:cs="Helvetica" w:eastAsia="Helvetica" w:hAnsi="Helvetica" w:hint="default"/>
          <w:i w:val="false"/>
          <w:iCs w:val="false"/>
          <w:caps w:val="false"/>
          <w:color w:val="333333"/>
          <w:spacing w:val="0"/>
          <w:sz w:val="25"/>
          <w:szCs w:val="25"/>
          <w:highlight w:val="none"/>
          <w:shd w:val="clear" w:color="auto" w:fill="ffffff"/>
        </w:rPr>
        <w:t>2. 夯实预算管理基础，提升预算编制水平。全面贯彻零基预算理念，打破基数概念和支出固化格局，防止预算安排只增不减。进一步完善预算支出标准化体系，合理确定项目明细类别和开支范围，逐步实现部门预算各项支出标准统一、科学规范、约束力强的目标</w:t>
      </w:r>
      <w:r>
        <w:rPr>
          <w:rFonts w:ascii="Helvetica" w:cs="Helvetica" w:eastAsia="宋体" w:hAnsi="Helvetica" w:hint="eastAsia"/>
          <w:i w:val="false"/>
          <w:iCs w:val="false"/>
          <w:caps w:val="false"/>
          <w:color w:val="333333"/>
          <w:spacing w:val="0"/>
          <w:sz w:val="25"/>
          <w:szCs w:val="25"/>
          <w:highlight w:val="none"/>
          <w:shd w:val="clear" w:color="auto" w:fill="ffffff"/>
          <w:lang w:eastAsia="zh-CN"/>
        </w:rPr>
        <w:t>。</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3. 推进预算绩效融合，加强资金使用效益。严格事前管理，将事前绩效评估作为新增支出和项目申报的先决条件；完善绩效指标库建设，提升指标设置的科学性和合理性；强化绩效管理成果应用，建立健全预算管理与绩效管理无缝对接机制，大力压减低效无效支出。</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4. 深化预算一体化建设，推进数字化改革。以财政部预算管理“一体化”和“预算指标核算管理”改革为契机，加快推动部门预算编制、指标下达、预算执行、资金结转等全生命周期过程的实时记录，实现预算管理全流程“顺向可控、逆向可溯”。围绕基础信息、项目管理、绩效管理、资产管理等功能模块，建立单位信息库、人员信息库、资产数据库、项目热点库，实现预算基础数据资源全过程归集。</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5. 优化预算支出结构，落实过紧日子要求。严格执行县委、县政府厉行节约、严控支出要求，2023年部门预算经常性支出以及非重点、非刚性支出只减不增；三公经费、会议费、培训费等支出，按单位实行定员定额、精准控制；合理安排支出预算规模，坚持“三保”支出在财政支出中的优先顺序，坚决守住“三保”底线，确保财政平稳运行。</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（三）具体方案</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1. 一般公共预算收支安排情况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（1）收入安排情况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2023年一般公共预算收入拟安排283000万元，增长9%，其中：税收220000万元，增长7.9%。地方一般公共预算收入拟安排193300万元，增长10.9%，其中：税收130300万元，增长10%；非税收入63000万元，增长12.7%，非税收入占比为32.59%。</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上级补助拟安排445301万元，其中：上级财力性补助145301万元；专项转移支付和明确特定用途的一般转移支付300000万元。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调入资金拟安排127577万元，其中：政府性基金调入127077万元、其他调入500万元。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以上合计拟安排收入766178万元。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（2）支出安排情况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2023年拟安排支出766178万元，其中：上级专项转移支付和明确特定用途的一般转移支付对等安排支出300000万元；非税收入安排支出42000万元；本级安排的各项支出424178万元。收支平衡。</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本级安排的424178万元支出包括：基本支出246799万元，其中：县直部门预算单位支出160944万元、乡镇包干支出43455万元、机关养老保险缺口及职业年金做实等支出42400万元。项目支出169378万元，其中：一般专项17826万元、非部门预算单位专项18028万元、发展专项106032万元、社保专项27492万元。预备费8000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 政府性基金预算收支安排情况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w:t>
      </w:r>
      <w:r>
        <w:rPr>
          <w:rFonts w:ascii="Helvetica" w:cs="Helvetica" w:eastAsia="宋体" w:hAnsi="Helvetica" w:hint="eastAsia"/>
          <w:i w:val="false"/>
          <w:iCs w:val="false"/>
          <w:caps w:val="false"/>
          <w:color w:val="333333"/>
          <w:spacing w:val="0"/>
          <w:sz w:val="25"/>
          <w:szCs w:val="25"/>
          <w:highlight w:val="none"/>
          <w:shd w:val="clear" w:color="auto" w:fill="ffffff"/>
          <w:lang w:val="en-US" w:eastAsia="zh-CN"/>
        </w:rPr>
        <w:t>2</w:t>
      </w:r>
      <w:r>
        <w:rPr>
          <w:rFonts w:ascii="Helvetica" w:cs="Helvetica" w:eastAsia="Helvetica" w:hAnsi="Helvetica" w:hint="default"/>
          <w:i w:val="false"/>
          <w:iCs w:val="false"/>
          <w:caps w:val="false"/>
          <w:color w:val="333333"/>
          <w:spacing w:val="0"/>
          <w:sz w:val="25"/>
          <w:szCs w:val="25"/>
          <w:highlight w:val="none"/>
          <w:shd w:val="clear" w:color="auto" w:fill="ffffff"/>
        </w:rPr>
        <w:t>年拟安排政府性基金收入477500万元，其中：国有土地使用权出让收入470000万元、其他政府性基金收入2500万元、上级专项补助5000万元。2023年拟安排政府性基金支出350423万元，其中：国有土地使用权出让收入安排的支出342923万元、其他政府性基金收入安排的支出2500万元，上级专项补助安排支出5000万元。调出一般公共预算127077万元。当年收支平衡。</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本级安排的342923万元国有土地使用权出让收入安排的支出包括：土地征拆成本20500万元、专项债券还本13900万元、专项债券付息17523万元、计提基金3000万元、基础设施建设及隐性债务化解288000万元。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3. 社会保险基金预算收支安排情况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2023年社会保险基金预算按险种分别编制。全县城乡居民基本养老保险、机关养老保险（失业保险2023年收归市级统筹）两项保险基金拟安排收入107224万元，其中：保险费收入40432万元、利息收入190万元、财政补贴收入65957万元、转移收入610万元、其他收入35万元。拟安排支出95295万元，其中：社会保险待遇支出94185万元、其他支出600万元、转移支出510万元。收支相抵，当年结余11929万元，加上上年结余75639万元，年末滚存结余87568万元。</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4. 国有资本经营预算收支安排情况</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2023年纳入国有资本经营预算的实施企业共6个，具体是：桃源县城市建设投资有限公司、桃源县经济开发区开发投资有限公司、桃源县空间规划勘测设计院有限公司、桃源水电工程建设有限公司、常德源坤建设工程有限公司、桃源县惠民中小企业融资担保有限公司。拟安排国有资本经营收入254万元，其中利润收入214万元、转移支付收入40万元。拟安排支出254万元，其中：解决历史遗留问题及改革成本支出64万元、国有企业资本金注入150万元、转移支付收入对等安排支出40万元。当年收支平衡。</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三、扎实做好2023年财政工作</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为确保财政各项工作任务顺利完成，我们将从以下四个方面入手：</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1. 强化财源建设，夯实财政基础。牢固树立“抓财源就是抓发展”理念，多措并举强化财源建设，夯实财政基础。进一步贯彻落实全省“三高四新”财源建设工程使命任务，在税源企业培育、产业培植、园区提质、税费征管等方面下功夫，力争实现经济发展、财政增收的良好效果。全面清理行政事业单位国有资产、国有自然资源底子，科学研判市场行情，有序推进国有资产处置、国有土地推市、采矿权出让。</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2. 优化支出结构，促进民生改善。突出公共财政导向，坚决落实政府过“紧日子”要求，进一步优化财政支出结构，压减一般性支出，围绕就业、教育、医疗、社会保障等群众关心领域，完善财政支持政策，稳步提高财政保障水平，坚决兜牢基本民生底线，把财政支出转化为群众实惠。对国家、省、市出台的民生支出政策，做到应保必保；对县级出台的民生支出政策，坚持量力而行与尽力而为相结合，坚持与财政承受能力相匹配。</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3. 深化预算改革，提升管理效能。进一步深化预算管理一体化改革，逐步实现预算管理业务全程线上运行，全面实现财政资金全链条信息化管控。扎实推进预算绩效无缝对接，建立以绩效为导向的预算分配体系，健全预算安排与绩效结果挂钩的激励约束机制。推进预决算公开和人大联网监督有效衔接，发挥社会监督和人大监督的协同效应，扎笼子、堵漏洞，狠抓预算执行管理和监督，不断提升财政预算管理效能。</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25"/>
          <w:szCs w:val="25"/>
          <w:highlight w:val="none"/>
          <w:shd w:val="clear" w:color="auto" w:fill="ffffff"/>
        </w:rPr>
      </w:pPr>
      <w:r>
        <w:rPr>
          <w:rFonts w:ascii="Helvetica" w:cs="Helvetica" w:eastAsia="Helvetica" w:hAnsi="Helvetica" w:hint="default"/>
          <w:i w:val="false"/>
          <w:iCs w:val="false"/>
          <w:caps w:val="false"/>
          <w:color w:val="333333"/>
          <w:spacing w:val="0"/>
          <w:sz w:val="25"/>
          <w:szCs w:val="25"/>
          <w:highlight w:val="none"/>
          <w:shd w:val="clear" w:color="auto" w:fill="ffffff"/>
        </w:rPr>
        <w:t>4. 硬化债务监管，防范财政风险。坚持底线思维，增强风险防范意识，严格执行地方政府债务限额管理。进一步加大专项债券争取力度，有效对接国家政策，将债券立项申报与县委、县政府重要决策部署有效衔接，科学确定债券项目，充分缓解财政支出压力；进一步优化公司债务结构，降低财务成本，积极稳妥化解隐性债务存量，切实提高债务风险防控能力。</w:t>
      </w:r>
    </w:p>
    <w:p>
      <w:pPr>
        <w:pStyle w:val="style94"/>
        <w:keepNext w:val="false"/>
        <w:keepLines w:val="false"/>
        <w:widowControl/>
        <w:suppressLineNumbers w:val="false"/>
        <w:pBdr>
          <w:left w:val="none" w:sz="0" w:space="0" w:color="auto"/>
          <w:right w:val="none" w:sz="0" w:space="0" w:color="auto"/>
          <w:top w:val="none" w:sz="0" w:space="0" w:color="auto"/>
          <w:bottom w:val="none" w:sz="0" w:space="0" w:color="auto"/>
        </w:pBdr>
        <w:shd w:val="clear" w:color="auto" w:fill="ffffff"/>
        <w:spacing w:before="0" w:beforeAutospacing="false" w:after="0" w:afterAutospacing="false" w:lineRule="atLeast" w:line="480"/>
        <w:ind w:left="0" w:right="0" w:firstLine="516"/>
        <w:rPr>
          <w:rFonts w:ascii="Helvetica" w:cs="Helvetica" w:eastAsia="Helvetica" w:hAnsi="Helvetica" w:hint="default"/>
          <w:i w:val="false"/>
          <w:iCs w:val="false"/>
          <w:caps w:val="false"/>
          <w:color w:val="333333"/>
          <w:spacing w:val="0"/>
          <w:sz w:val="19"/>
          <w:szCs w:val="19"/>
          <w:highlight w:val="none"/>
        </w:rPr>
      </w:pPr>
      <w:r>
        <w:rPr>
          <w:rFonts w:ascii="Helvetica" w:cs="Helvetica" w:eastAsia="Helvetica" w:hAnsi="Helvetica" w:hint="default"/>
          <w:i w:val="false"/>
          <w:iCs w:val="false"/>
          <w:caps w:val="false"/>
          <w:color w:val="333333"/>
          <w:spacing w:val="0"/>
          <w:sz w:val="25"/>
          <w:szCs w:val="25"/>
          <w:highlight w:val="none"/>
          <w:shd w:val="clear" w:color="auto" w:fill="ffffff"/>
        </w:rPr>
        <w:t>各位代表，2023年我们将紧跟县委、县政府的坚强领导，自觉接受县人大的监督，认真听取县政协建议，全面落实省委“三高四新”战略定位和使命任务，履职尽责、真抓实干，凝心聚力、乘势而上，为加快推进社会主义现代化新桃源建设步伐而努力奋斗。</w:t>
      </w:r>
    </w:p>
    <w:p>
      <w:pPr>
        <w:pStyle w:val="style0"/>
        <w:jc w:val="center"/>
        <w:rPr>
          <w:rFonts w:hint="eastAsia"/>
          <w:b/>
          <w:bCs/>
          <w:highlight w:val="none"/>
          <w:lang w:val="en-US" w:eastAsia="zh-CN"/>
        </w:rPr>
      </w:pPr>
    </w:p>
    <w:p>
      <w:pPr>
        <w:pStyle w:val="style0"/>
        <w:jc w:val="both"/>
        <w:rPr>
          <w:rStyle w:val="style87"/>
          <w:rFonts w:ascii="Helvetica" w:cs="Helvetica" w:eastAsia="Helvetica" w:hAnsi="Helvetica" w:hint="eastAsia"/>
          <w:bCs/>
          <w:i w:val="false"/>
          <w:iCs w:val="false"/>
          <w:caps w:val="false"/>
          <w:color w:val="333333"/>
          <w:spacing w:val="0"/>
          <w:kern w:val="0"/>
          <w:sz w:val="34"/>
          <w:szCs w:val="34"/>
          <w:highlight w:val="none"/>
          <w:shd w:val="clear" w:color="auto" w:fill="ffffff"/>
          <w:lang w:val="en-US" w:eastAsia="zh-CN"/>
        </w:rPr>
      </w:pPr>
      <w:r>
        <w:rPr>
          <w:rStyle w:val="style87"/>
          <w:rFonts w:ascii="Helvetica" w:cs="Helvetica" w:eastAsia="Helvetica" w:hAnsi="Helvetica" w:hint="eastAsia"/>
          <w:bCs/>
          <w:i w:val="false"/>
          <w:iCs w:val="false"/>
          <w:caps w:val="false"/>
          <w:color w:val="333333"/>
          <w:spacing w:val="0"/>
          <w:kern w:val="0"/>
          <w:sz w:val="34"/>
          <w:szCs w:val="34"/>
          <w:highlight w:val="none"/>
          <w:shd w:val="clear" w:color="auto" w:fill="ffffff"/>
          <w:lang w:val="en-US" w:eastAsia="zh-CN"/>
        </w:rPr>
        <w:t>第二部分 预算草案</w:t>
      </w:r>
    </w:p>
    <w:p>
      <w:pPr>
        <w:pStyle w:val="style0"/>
        <w:jc w:val="both"/>
        <w:rPr>
          <w:rFonts w:hint="eastAsia"/>
          <w:b/>
          <w:bCs/>
          <w:highlight w:val="none"/>
          <w:lang w:val="en-US" w:eastAsia="zh-CN"/>
        </w:rPr>
      </w:pPr>
      <w:r>
        <w:rPr>
          <w:rFonts w:hint="eastAsia"/>
          <w:b/>
          <w:bCs/>
          <w:highlight w:val="none"/>
          <w:lang w:val="en-US" w:eastAsia="zh-CN"/>
        </w:rPr>
        <w:t>（详见2023年预算公开表格）</w:t>
      </w:r>
    </w:p>
    <w:p>
      <w:pPr>
        <w:pStyle w:val="style0"/>
        <w:jc w:val="both"/>
        <w:rPr>
          <w:rFonts w:hint="eastAsia"/>
          <w:b/>
          <w:bCs/>
          <w:highlight w:val="none"/>
          <w:lang w:val="en-US" w:eastAsia="zh-CN"/>
        </w:rPr>
      </w:pPr>
    </w:p>
    <w:p>
      <w:pPr>
        <w:pStyle w:val="style0"/>
        <w:jc w:val="both"/>
        <w:rPr>
          <w:rFonts w:hint="eastAsia"/>
          <w:b/>
          <w:bCs/>
          <w:highlight w:val="none"/>
          <w:lang w:val="en-US" w:eastAsia="zh-CN"/>
        </w:rPr>
      </w:pPr>
    </w:p>
    <w:p>
      <w:pPr>
        <w:pStyle w:val="style0"/>
        <w:jc w:val="both"/>
        <w:rPr>
          <w:rFonts w:hint="eastAsia"/>
          <w:b/>
          <w:bCs/>
          <w:highlight w:val="none"/>
          <w:lang w:val="en-US" w:eastAsia="zh-CN"/>
        </w:rPr>
      </w:pPr>
      <w:r>
        <w:rPr>
          <w:rStyle w:val="style87"/>
          <w:rFonts w:ascii="Helvetica" w:cs="Helvetica" w:eastAsia="Helvetica" w:hAnsi="Helvetica" w:hint="eastAsia"/>
          <w:bCs/>
          <w:i w:val="false"/>
          <w:iCs w:val="false"/>
          <w:caps w:val="false"/>
          <w:color w:val="333333"/>
          <w:spacing w:val="0"/>
          <w:kern w:val="0"/>
          <w:sz w:val="34"/>
          <w:szCs w:val="34"/>
          <w:highlight w:val="none"/>
          <w:shd w:val="clear" w:color="auto" w:fill="ffffff"/>
          <w:lang w:val="en-US" w:eastAsia="zh-CN"/>
        </w:rPr>
        <w:t>第三部分 相关说明</w:t>
      </w:r>
    </w:p>
    <w:p>
      <w:pPr>
        <w:pStyle w:val="style0"/>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一、</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202</w:t>
      </w: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3</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年转移支付情况说明</w:t>
      </w:r>
    </w:p>
    <w:p>
      <w:pPr>
        <w:pStyle w:val="style0"/>
        <w:ind w:firstLine="500" w:firstLineChars="200"/>
        <w:jc w:val="left"/>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桃源县202</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年年初预算上级补助收入为</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455049</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万元，其中返还性收入8177万元；一般性转移支付收入</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365757</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万元；专项转移支付收入</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81115</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w:t>
      </w:r>
    </w:p>
    <w:p>
      <w:pPr>
        <w:pStyle w:val="style0"/>
        <w:ind w:firstLine="500" w:firstLineChars="200"/>
        <w:rPr>
          <w:rFonts w:hint="default"/>
          <w:highlight w:val="none"/>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专项转移支付收入合计为</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81115</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万元，其中一般公共服务</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2076</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万元；国防</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70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万元；公共安全</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329</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万元；教育</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1970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万元；科学技术</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1350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万元；文化旅游体育与传媒</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600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万元；社会保障和就业</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1930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万元；卫生健康</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万元；节能环保</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15000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万元；城乡社区</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700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万元；农林水支出</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30500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万元；交通运输</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5500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万元；资源勘探工业信息等</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2800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万元；商业服务业等</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950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万元；金融</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250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万元；自然资源海洋气象等</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2800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万元；住房保障支出</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8380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万元；粮油物资储备</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180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万元；灾害防治及应急管理</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1030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；其他收入2700万元</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w:t>
      </w:r>
    </w:p>
    <w:p>
      <w:pPr>
        <w:pStyle w:val="style0"/>
        <w:rPr>
          <w:rFonts w:hint="default"/>
          <w:highlight w:val="none"/>
          <w:lang w:val="en-US" w:eastAsia="zh-CN"/>
        </w:rPr>
      </w:pP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二、</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政府性债务情况说明</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1．2022年底政府债务情况</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截至2022年12月，全县政府性债务余额89.48亿元。按照债务类型划分：一般债务38.9亿元，专项债务50.58亿元。 与上年债务69.06亿元比较，债务总额增加20.42亿元。</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2.2022年举借债务情况</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全县共收到省级转贷政府债券23.11亿元，其中：发行新增债券20.61亿元，发行再融资债券2.5亿元。</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3.2022年债务限额情况</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2022年我县新增债券限额20.57亿元，其中一般债2.43亿元，专项债18.75亿元。</w:t>
      </w:r>
    </w:p>
    <w:p>
      <w:pPr>
        <w:pStyle w:val="style67"/>
        <w:numPr>
          <w:ilvl w:val="0"/>
          <w:numId w:val="0"/>
        </w:numPr>
        <w:ind w:firstLine="500" w:firstLineChars="200"/>
        <w:rPr>
          <w:rFonts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cs="Helvetica" w:eastAsia="Helvetica" w:hAnsi="Helvetica" w:hint="default"/>
          <w:i w:val="false"/>
          <w:iCs w:val="false"/>
          <w:caps w:val="false"/>
          <w:color w:val="333333"/>
          <w:spacing w:val="0"/>
          <w:kern w:val="0"/>
          <w:sz w:val="25"/>
          <w:szCs w:val="25"/>
          <w:highlight w:val="none"/>
          <w:shd w:val="clear" w:color="auto" w:fill="ffffff"/>
          <w:lang w:val="en-US" w:eastAsia="zh-CN"/>
        </w:rPr>
        <w:t>4.2022年地方政府债务还本付息情况</w:t>
      </w:r>
    </w:p>
    <w:p>
      <w:pPr>
        <w:pStyle w:val="style67"/>
        <w:numPr>
          <w:ilvl w:val="0"/>
          <w:numId w:val="0"/>
        </w:numPr>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cs="Helvetica" w:eastAsia="Helvetica" w:hAnsi="Helvetica" w:hint="default"/>
          <w:i w:val="false"/>
          <w:iCs w:val="false"/>
          <w:caps w:val="false"/>
          <w:color w:val="333333"/>
          <w:spacing w:val="0"/>
          <w:kern w:val="0"/>
          <w:sz w:val="25"/>
          <w:szCs w:val="25"/>
          <w:highlight w:val="none"/>
          <w:shd w:val="clear" w:color="auto" w:fill="ffffff"/>
          <w:lang w:val="en-US" w:eastAsia="zh-CN"/>
        </w:rPr>
        <w:t>2022年偿还地方政府债券本金5.92亿元，其中一般债券5.92亿元，支付地方政府债券利息1.6亿元，其中一般债券利息0.97亿元，专项债券利息0.63亿元。</w:t>
      </w:r>
    </w:p>
    <w:p>
      <w:pPr>
        <w:pStyle w:val="style67"/>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cs="Helvetica" w:eastAsia="Helvetica" w:hAnsi="Helvetica" w:hint="default"/>
          <w:i w:val="false"/>
          <w:iCs w:val="false"/>
          <w:caps w:val="false"/>
          <w:color w:val="333333"/>
          <w:spacing w:val="0"/>
          <w:kern w:val="0"/>
          <w:sz w:val="25"/>
          <w:szCs w:val="25"/>
          <w:highlight w:val="none"/>
          <w:shd w:val="clear" w:color="auto" w:fill="ffffff"/>
          <w:lang w:val="en-US" w:eastAsia="zh-CN"/>
        </w:rPr>
        <w:t>5</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.2023年债券还本付息情况</w:t>
      </w:r>
    </w:p>
    <w:p>
      <w:pPr>
        <w:pStyle w:val="style67"/>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2023年地方政府债券预计还本4.7亿元，付息预计3.03亿元。</w:t>
      </w:r>
    </w:p>
    <w:p>
      <w:pPr>
        <w:pStyle w:val="style67"/>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cs="Helvetica" w:eastAsia="Helvetica" w:hAnsi="Helvetica" w:hint="default"/>
          <w:i w:val="false"/>
          <w:iCs w:val="false"/>
          <w:caps w:val="false"/>
          <w:color w:val="333333"/>
          <w:spacing w:val="0"/>
          <w:kern w:val="0"/>
          <w:sz w:val="25"/>
          <w:szCs w:val="25"/>
          <w:highlight w:val="none"/>
          <w:shd w:val="clear" w:color="auto" w:fill="ffffff"/>
          <w:lang w:val="en-US" w:eastAsia="zh-CN"/>
        </w:rPr>
        <w:t>6</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.2023年限额债务限额情况</w:t>
      </w:r>
    </w:p>
    <w:p>
      <w:pPr>
        <w:pStyle w:val="style67"/>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2023年我县地方政府债务限额为102.19亿元。</w:t>
      </w:r>
    </w:p>
    <w:p>
      <w:pPr>
        <w:pStyle w:val="style67"/>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cs="Helvetica" w:eastAsia="Helvetica" w:hAnsi="Helvetica" w:hint="default"/>
          <w:i w:val="false"/>
          <w:iCs w:val="false"/>
          <w:caps w:val="false"/>
          <w:color w:val="333333"/>
          <w:spacing w:val="0"/>
          <w:kern w:val="0"/>
          <w:sz w:val="25"/>
          <w:szCs w:val="25"/>
          <w:highlight w:val="none"/>
          <w:shd w:val="clear" w:color="auto" w:fill="ffffff"/>
          <w:lang w:val="en-US" w:eastAsia="zh-CN"/>
        </w:rPr>
        <w:t>7</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.2023年新增地方政府债券资金安排情况</w:t>
      </w:r>
    </w:p>
    <w:p>
      <w:pPr>
        <w:pStyle w:val="style67"/>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2023年我县新增地方政府债券资金123063万元，其中：新增一般债券19963万元，分别为新冠感染重症救治能力和转运能力提升项目963万元；南区学校建设项目7101万元；横东街道路建设项目1370万元；伯赞路南延线建设项目400万元；荷花路南延线建设项目1660万元；雪涛路建设项目1810万元；农村公路建设项目2729万元；小水库除险加固项目3930万元；新增专项债券100900万元，分别为国家粮食储备中心建设项目10000万元；乡村振兴高产富硒茶叶产业基地项目31400万元；高标准农田建设项目23800万元；职业高级中学产教融合示范项目8000万元；城乡供水一体及配套管网建设项目19500万元；陬市工业园机械加工标准化厂房建设项目3000万元；湘西北冷链物流基地建设项目3600万元；置换2017年桃纺棚改隐性债务1600万元；新增外贷为国际农业发展基金贷款湖南省乡村振兴发展项目2200万元。</w:t>
      </w:r>
    </w:p>
    <w:p>
      <w:pPr>
        <w:pStyle w:val="style0"/>
        <w:rPr>
          <w:rFonts w:hint="default"/>
          <w:highlight w:val="none"/>
          <w:lang w:val="en-US" w:eastAsia="zh-CN"/>
        </w:rPr>
      </w:pP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三、</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202</w:t>
      </w: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3</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年一般公共预算“三公”经费预算安排情况说明</w:t>
      </w:r>
    </w:p>
    <w:p>
      <w:pPr>
        <w:pStyle w:val="style0"/>
        <w:ind w:firstLine="500" w:firstLineChars="200"/>
        <w:rPr>
          <w:rFonts w:hint="default"/>
          <w:highlight w:val="none"/>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经</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汇总统计，</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当年财政拨款安排的20</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23</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年“三公”经费预算为</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3130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万元，其中：公务接待费</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1790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公务用车购置及运行费</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1340万元，其中</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公务用车运行维护费为</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1080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，公务用车购置费260万元；因公出国（境）费0元。</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总体来看，202</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年“三公”经费预算总额</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3130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万元较202</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年“三公”经费预算总额</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3370</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万元下降</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7.12</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%，主要得益于全县上下各部门坚持厉行节约原则，严格“三公”经费使用审批标准及手续，突出制度化建设，从严控制“三公”经费预算支出。</w:t>
      </w:r>
    </w:p>
    <w:p>
      <w:pPr>
        <w:pStyle w:val="style0"/>
        <w:rPr>
          <w:rFonts w:hint="default"/>
          <w:highlight w:val="none"/>
          <w:lang w:val="en-US" w:eastAsia="zh-CN"/>
        </w:rPr>
      </w:pP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四、</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202</w:t>
      </w: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3</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年返还性收入情况说明</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返还性收入8177万元，其中：</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1</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所得税基数返还收入923万元；</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2</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成品油税费改革税收返还收入1942万元；</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3</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增值税税收返还收入3218万元；</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4</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消费税税收返还收入14万元；</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5</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其他返还性收入 2080万元。</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p>
    <w:p>
      <w:pPr>
        <w:pStyle w:val="style0"/>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五</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w:t>
      </w: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2022年</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预算绩效管理工作开展情况</w:t>
      </w:r>
    </w:p>
    <w:p>
      <w:pPr>
        <w:pStyle w:val="style0"/>
        <w:keepNext w:val="false"/>
        <w:keepLines w:val="false"/>
        <w:pageBreakBefore w:val="false"/>
        <w:numPr>
          <w:ilvl w:val="0"/>
          <w:numId w:val="0"/>
        </w:numPr>
        <w:kinsoku/>
        <w:wordWrap/>
        <w:overflowPunct/>
        <w:topLinePunct w:val="false"/>
        <w:autoSpaceDE/>
        <w:autoSpaceDN/>
        <w:bidi w:val="false"/>
        <w:spacing w:lineRule="exact" w:line="600"/>
        <w:ind w:firstLine="500" w:firstLineChars="200"/>
        <w:textAlignment w:val="auto"/>
        <w:rPr>
          <w:rFonts w:ascii="仿宋_GB2312" w:cs="仿宋_GB2312" w:eastAsia="仿宋_GB2312" w:hAnsi="仿宋_GB2312" w:hint="eastAsia"/>
          <w:sz w:val="28"/>
          <w:szCs w:val="28"/>
          <w:lang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（一）提质扩面，构建全方位绩效管理格局</w:t>
      </w:r>
    </w:p>
    <w:p>
      <w:pPr>
        <w:pStyle w:val="style0"/>
        <w:keepNext w:val="false"/>
        <w:keepLines w:val="false"/>
        <w:pageBreakBefore w:val="false"/>
        <w:numPr>
          <w:ilvl w:val="0"/>
          <w:numId w:val="0"/>
        </w:numPr>
        <w:kinsoku/>
        <w:wordWrap/>
        <w:overflowPunct/>
        <w:topLinePunct w:val="false"/>
        <w:autoSpaceDE/>
        <w:autoSpaceDN/>
        <w:bidi w:val="false"/>
        <w:spacing w:lineRule="exact" w:line="600"/>
        <w:ind w:firstLine="562" w:firstLineChars="200"/>
        <w:jc w:val="both"/>
        <w:textAlignment w:val="auto"/>
        <w:rPr>
          <w:rFonts w:ascii="仿宋_GB2312" w:cs="仿宋_GB2312" w:eastAsia="仿宋_GB2312" w:hAnsi="仿宋_GB2312" w:hint="eastAsia"/>
          <w:sz w:val="28"/>
          <w:szCs w:val="28"/>
          <w:lang w:val="en-US" w:eastAsia="zh-CN"/>
        </w:rPr>
      </w:pPr>
      <w:r>
        <w:rPr>
          <w:rFonts w:ascii="仿宋_GB2312" w:cs="仿宋_GB2312" w:eastAsia="仿宋_GB2312" w:hAnsi="仿宋_GB2312" w:hint="eastAsia"/>
          <w:b/>
          <w:bCs/>
          <w:sz w:val="28"/>
          <w:szCs w:val="28"/>
          <w:lang w:val="en-US" w:eastAsia="zh-CN"/>
        </w:rPr>
        <w:t>1.构建三个层级。</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按照中发【2018】34号《关于全面实施预算绩效管理的意见》文件精神，我们改变以往主要由财政单独进行绩效评价，且主要仅仅对项目支出进行绩效评价的局面，从三个层级上搭建起预算绩效管理体系，即政府预算的绩效管理，部门单位的绩效管理以及项目支出以及财政政策的绩效管理。2022年我们对政府预算管理的全县公务用车运行经费等两笔专项资金开展了重点项目绩效评价，拓展预算绩效管理评价范围。同时，组织县文旅广体局、县乡村振兴局等十个部门单位开展部门绩效评价，进一步强化部门自身绩效管理意识。</w:t>
      </w:r>
    </w:p>
    <w:p>
      <w:pPr>
        <w:pStyle w:val="style0"/>
        <w:keepNext w:val="false"/>
        <w:keepLines w:val="false"/>
        <w:pageBreakBefore w:val="false"/>
        <w:numPr>
          <w:ilvl w:val="0"/>
          <w:numId w:val="0"/>
        </w:numPr>
        <w:kinsoku/>
        <w:wordWrap/>
        <w:overflowPunct/>
        <w:topLinePunct w:val="false"/>
        <w:autoSpaceDE/>
        <w:autoSpaceDN/>
        <w:bidi w:val="false"/>
        <w:spacing w:lineRule="exact" w:line="600"/>
        <w:ind w:firstLine="562" w:firstLineChars="200"/>
        <w:jc w:val="both"/>
        <w:textAlignment w:val="auto"/>
        <w:rPr>
          <w:rFonts w:ascii="仿宋_GB2312" w:cs="仿宋_GB2312" w:eastAsia="仿宋_GB2312" w:hAnsi="仿宋_GB2312" w:hint="eastAsia"/>
          <w:b w:val="false"/>
          <w:bCs w:val="false"/>
          <w:sz w:val="28"/>
          <w:szCs w:val="28"/>
          <w:lang w:val="en-US" w:eastAsia="zh-CN"/>
        </w:rPr>
      </w:pPr>
      <w:r>
        <w:rPr>
          <w:rFonts w:ascii="仿宋_GB2312" w:cs="仿宋_GB2312" w:eastAsia="仿宋_GB2312" w:hAnsi="仿宋_GB2312" w:hint="eastAsia"/>
          <w:b/>
          <w:bCs/>
          <w:sz w:val="28"/>
          <w:szCs w:val="28"/>
          <w:lang w:val="en-US" w:eastAsia="zh-CN"/>
        </w:rPr>
        <w:t>2.覆盖四本预算。</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按照建立完善全覆盖预算绩效管理体系的工作要求，我们将预算绩效管理范围从三本预算拓展至四本预算，在部门预算编制时，同步对国资局提出了预算绩效目标管理的相关要求，同时针对其所负责的国有资本经营预算项目，开展了部门绩效评价工作。加强四本预算之间的衔接，完善预算绩效管理体系。</w:t>
      </w:r>
    </w:p>
    <w:p>
      <w:pPr>
        <w:pStyle w:val="style0"/>
        <w:ind w:firstLine="562"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仿宋_GB2312" w:cs="仿宋_GB2312" w:eastAsia="仿宋_GB2312" w:hAnsi="仿宋_GB2312" w:hint="eastAsia"/>
          <w:b/>
          <w:bCs/>
          <w:sz w:val="28"/>
          <w:szCs w:val="28"/>
          <w:lang w:val="en-US" w:eastAsia="zh-CN"/>
        </w:rPr>
        <w:t>3.贯穿五个环节。</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一是探索建立事前绩效评估机制，2022年我们组织县教育局、应急管理局、行政审批服务局等三个单位，对部门申报预算计划实施的三个专项资金开展事前绩效评估工作，推动绩效关口前移，进一步提高预算编制科学性。二是进一步强化绩效目标管理，抓好绩效目标监控，开展绩效评价管理。2022年年初，我们对县直81个单位，28个乡镇（街道）的年初绩效目标申报进行了审核把关，年中，由财政局各业务股室牵头，对单位申报的专项支出进行了绩效运行监控。同时，县财政局联合县人大财经委8个重点专项的支出情况进行了专项监控督察。下半年，我们委托第三方中介机构，对2021年度我县5个部门整体支出、8个专项资金项目支出进行了财政重点绩效评价。三是强化绩效评价结果应用，根据年中绩效运行监控以及财政重点绩效评价结果，桃源县财政局像县委县政府专题报告了2022年预算绩效管理工作的开展情况，针对监控和绩效评价中发现的问题，向部门单位下发了整改通知书，并报送县人大，建议调整相关预算。</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（二）精准培训，提升部门主体绩效责任意识</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绩效目标是预算绩效管理的龙头和基础，2022年，我们继续强化绩效目标申报工作的培训指导，聘请恒信弘正会计师事务所对我县预算单位业务人员进行绩效目标申报“一对一”的指导与解答，进一步提高单位预算编制以及绩效目标的填报水平。同时，针对部门绩效自评工作，我们在单位自评的基础上，开展了财政抽查再评价，并委托第三方机构对部门单位填报的绩效自评报告进行了质量评审以及培训指导，提高单位绩效自评报告的撰写能力。</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另一方面，2022年我们将预算绩效管理从县直部门单位全面拓展到了乡镇（街道）。9月份，我们我们聘请恒信弘正会计师事务所谭昌柏老师，为各乡镇（街道）财务人员以及2022年财政系统新录用公务员进行了预算绩效管理的培训授课，并在培训后正式开展了乡镇预算绩效管理工作，逐步提高乡镇（街道）干部职工的预算绩效管理意识，逐渐补齐以往乡镇预算绩效管理较为薄弱的短板。同时，在年底的预算编制工作布置会上，我们再次同步对县直单位以及乡镇（街道）财政所人员进行了绩效培训，以预算管理一体化系统这个平台为依托，加强绩效环节与部门预算编制的协同推进。</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（三）联动协同，完善预算绩效管理评价机制</w:t>
      </w:r>
    </w:p>
    <w:p>
      <w:pPr>
        <w:pStyle w:val="style0"/>
        <w:ind w:firstLine="500" w:firstLineChars="200"/>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根据《桃源县人大预算绩效管理监督工作方案》以及《财审协同联动机制》，2022年，我们在财政重点项目绩效运行监控以及第三方中介机构绩效评价前，联合县人大财经委、县审计局召集2022年被评价单位以及各中介服务机构，召开了2022年绩效评价工作进点会，明确了绩效运行监控以及第三方评价的工作任务和要求。在评价结束后，我们又再次集中预算单位、第三方评价机构、业务股室召开了碰头会，从目标设置、评价报告、扣分情况等进行全面沟通，确保评价更客观、更精准。在评价工作结束后，根据各单位重点绩效评价报告内容，整理出各单位的问题清单，原汁原味反馈给各预算单位，压实他们的主体责任，按照问题清单制定“一事一策”的要求，由各业务股室监督限期整改到位。同时，我们将评价报告报送县人大，由县人大组织财经委员、人大代表以及财经专家对单位评价报告以及整改情况进行督导，将人大对财政预算绩效的监督责任落到实处。</w:t>
      </w:r>
    </w:p>
    <w:p>
      <w:pPr>
        <w:pStyle w:val="style0"/>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六、2023年预算绩效管理工作计划</w:t>
      </w:r>
    </w:p>
    <w:p>
      <w:pPr>
        <w:pStyle w:val="style0"/>
        <w:ind w:firstLine="500" w:firstLineChars="200"/>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eastAsia"/>
          <w:b w:val="false"/>
          <w:bCs w:val="false"/>
          <w:i w:val="false"/>
          <w:iCs w:val="false"/>
          <w:caps w:val="false"/>
          <w:color w:val="333333"/>
          <w:spacing w:val="0"/>
          <w:kern w:val="0"/>
          <w:sz w:val="25"/>
          <w:szCs w:val="25"/>
          <w:highlight w:val="none"/>
          <w:shd w:val="clear" w:color="auto" w:fill="ffffff"/>
          <w:lang w:val="en-US" w:eastAsia="zh-CN"/>
        </w:rPr>
        <w:t>按</w:t>
      </w:r>
      <w:r>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t>照《中共中央国务院关于全面实施预算绩效管理的意见》（中发【2018】34号）文件精神以及2023年省财政厅“绩效管理提升年”行动要求，把全面实施预算绩效管理作为优化财政资源配置、提升公共服务质量的关键举措，坚持以预算绩效为导向，不断深化预算管理体制改革，加快构建全方位、全过程、全覆盖的预算绩效管理体系，大力提升预算绩效管理水平，推动财政工作高质量发展。</w:t>
      </w:r>
    </w:p>
    <w:p>
      <w:pPr>
        <w:pStyle w:val="style0"/>
        <w:ind w:firstLine="500" w:firstLineChars="200"/>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default"/>
          <w:b/>
          <w:bCs/>
          <w:i w:val="false"/>
          <w:iCs w:val="false"/>
          <w:caps w:val="false"/>
          <w:color w:val="333333"/>
          <w:spacing w:val="0"/>
          <w:kern w:val="0"/>
          <w:sz w:val="25"/>
          <w:szCs w:val="25"/>
          <w:highlight w:val="none"/>
          <w:shd w:val="clear" w:color="auto" w:fill="ffffff"/>
          <w:lang w:val="en-US" w:eastAsia="zh-CN"/>
        </w:rPr>
        <w:t>1.强化责任，提升绩效理念。</w:t>
      </w:r>
      <w:r>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t>加大宣传力度，利用各类媒体平台，营造“政府重视绩效、部门追求绩效、公众监督绩效”的良好氛围。加强学习培训，从部门预算编制开始，强化绩效目标管理，落实各部门单位的预算编制和执行主体责任，全面提升“花钱必问效，无效必问责”的绩效管理理念。</w:t>
      </w:r>
    </w:p>
    <w:p>
      <w:pPr>
        <w:pStyle w:val="style0"/>
        <w:ind w:firstLine="500" w:firstLineChars="200"/>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default"/>
          <w:b/>
          <w:bCs/>
          <w:i w:val="false"/>
          <w:iCs w:val="false"/>
          <w:caps w:val="false"/>
          <w:color w:val="333333"/>
          <w:spacing w:val="0"/>
          <w:kern w:val="0"/>
          <w:sz w:val="25"/>
          <w:szCs w:val="25"/>
          <w:highlight w:val="none"/>
          <w:shd w:val="clear" w:color="auto" w:fill="ffffff"/>
          <w:lang w:val="en-US" w:eastAsia="zh-CN"/>
        </w:rPr>
        <w:t>2.完善机制，提升部门协同。</w:t>
      </w:r>
      <w:r>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t>推动落实财审协同联动制度，继续采取引入第三方机构以及财经专家点评机制，加强部门之间的协同联动，共同确立绩效评价标准，提高评价质量。同时，健全问责追责机制，联合纪委监委、审计局、巡察办等监督部门，对预算绩效监督发现的问题线索及时移送，对问题整改不力或不彻底的，对相关人员进行问责，形成监督合力。</w:t>
      </w:r>
    </w:p>
    <w:p>
      <w:pPr>
        <w:pStyle w:val="style0"/>
        <w:ind w:firstLine="500" w:firstLineChars="200"/>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default"/>
          <w:b/>
          <w:bCs/>
          <w:i w:val="false"/>
          <w:iCs w:val="false"/>
          <w:caps w:val="false"/>
          <w:color w:val="333333"/>
          <w:spacing w:val="0"/>
          <w:kern w:val="0"/>
          <w:sz w:val="25"/>
          <w:szCs w:val="25"/>
          <w:highlight w:val="none"/>
          <w:shd w:val="clear" w:color="auto" w:fill="ffffff"/>
          <w:lang w:val="en-US" w:eastAsia="zh-CN"/>
        </w:rPr>
        <w:t>3.探索创新，完善评价链条。</w:t>
      </w:r>
      <w:r>
        <w:rPr>
          <w:rStyle w:val="style87"/>
          <w:rFonts w:ascii="Helvetica" w:cs="Helvetica" w:eastAsia="Helvetica" w:hAnsi="Helvetica" w:hint="default"/>
          <w:b w:val="false"/>
          <w:bCs w:val="false"/>
          <w:i w:val="false"/>
          <w:iCs w:val="false"/>
          <w:caps w:val="false"/>
          <w:color w:val="333333"/>
          <w:spacing w:val="0"/>
          <w:kern w:val="0"/>
          <w:sz w:val="25"/>
          <w:szCs w:val="25"/>
          <w:highlight w:val="none"/>
          <w:shd w:val="clear" w:color="auto" w:fill="ffffff"/>
          <w:lang w:val="en-US" w:eastAsia="zh-CN"/>
        </w:rPr>
        <w:t>以事前绩效评估为导向，进一步优化财政资源配置。2023年，我们计划改变以往事后评价的单一模式，探索开展事前评估。对拟新增的重大政策、专项资金，或是计划进行预算调整的项目的设立必要性、投入经济性、绩效目标合理性、实施方案可行性、筹资合规性等方面进行客观、公正的评估。计划对2023年县政协新增专项“山水田林路综合治理文史资料编辑工作经费”开展事前绩效评估，根据评估结果提出下一年度预算安排建议。同时，针对2023年度后续的财政专题调研（财政专报）工作，选取项目开展事前绩效评估。另一方面，以部门绩效评价抓手，进一步提高单位的绩效管理意识。改变以往完全由财政负责绩效评价的模式，在2022年选择县文旅广体局作为试点的情况下，进一步拓展部门绩效评价范围，计划选取县教育局、卫健局、交通局等单位由部门自行组织或委托第三方中介机构对部门或所属二级机构的项目资金开展绩效评价，进一步提升部门自身的预算绩效管理意识。</w:t>
      </w:r>
    </w:p>
    <w:p>
      <w:pPr>
        <w:pStyle w:val="style0"/>
        <w:ind w:firstLine="500" w:firstLineChars="200"/>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pPr>
    </w:p>
    <w:p>
      <w:pPr>
        <w:pStyle w:val="style0"/>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pPr>
      <w:r>
        <w:rPr>
          <w:rStyle w:val="style87"/>
          <w:rFonts w:ascii="Helvetica" w:cs="Helvetica" w:eastAsia="Helvetica" w:hAnsi="Helvetica" w:hint="eastAsia"/>
          <w:bCs/>
          <w:i w:val="false"/>
          <w:iCs w:val="false"/>
          <w:caps w:val="false"/>
          <w:color w:val="333333"/>
          <w:spacing w:val="0"/>
          <w:kern w:val="0"/>
          <w:sz w:val="25"/>
          <w:szCs w:val="25"/>
          <w:highlight w:val="none"/>
          <w:shd w:val="clear" w:color="auto" w:fill="ffffff"/>
          <w:lang w:val="en-US" w:eastAsia="zh-CN"/>
        </w:rPr>
        <w:t>七</w:t>
      </w:r>
      <w:r>
        <w:rPr>
          <w:rStyle w:val="style87"/>
          <w:rFonts w:ascii="Helvetica" w:cs="Helvetica" w:eastAsia="Helvetica" w:hAnsi="Helvetica" w:hint="default"/>
          <w:bCs/>
          <w:i w:val="false"/>
          <w:iCs w:val="false"/>
          <w:caps w:val="false"/>
          <w:color w:val="333333"/>
          <w:spacing w:val="0"/>
          <w:kern w:val="0"/>
          <w:sz w:val="25"/>
          <w:szCs w:val="25"/>
          <w:highlight w:val="none"/>
          <w:shd w:val="clear" w:color="auto" w:fill="ffffff"/>
          <w:lang w:val="en-US" w:eastAsia="zh-CN"/>
        </w:rPr>
        <w:t>、公开重大政策和重点项目绩效执行结果</w:t>
      </w:r>
    </w:p>
    <w:p>
      <w:pPr>
        <w:pStyle w:val="style0"/>
        <w:ind w:firstLine="500" w:firstLineChars="200"/>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pP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202</w:t>
      </w:r>
      <w:r>
        <w:rPr>
          <w:rFonts w:ascii="Helvetica" w:cs="Helvetica" w:eastAsia="Helvetica" w:hAnsi="Helvetica" w:hint="eastAsia"/>
          <w:i w:val="false"/>
          <w:iCs w:val="false"/>
          <w:caps w:val="false"/>
          <w:color w:val="333333"/>
          <w:spacing w:val="0"/>
          <w:kern w:val="0"/>
          <w:sz w:val="25"/>
          <w:szCs w:val="25"/>
          <w:highlight w:val="none"/>
          <w:shd w:val="clear" w:color="auto" w:fill="ffffff"/>
          <w:lang w:val="en-US" w:eastAsia="zh-CN"/>
        </w:rPr>
        <w:t>2</w:t>
      </w:r>
      <w:r>
        <w:rPr>
          <w:rFonts w:ascii="Helvetica" w:cs="Helvetica" w:eastAsia="Helvetica" w:hAnsi="Helvetica" w:hint="default"/>
          <w:i w:val="false"/>
          <w:iCs w:val="false"/>
          <w:caps w:val="false"/>
          <w:color w:val="333333"/>
          <w:spacing w:val="0"/>
          <w:kern w:val="0"/>
          <w:sz w:val="25"/>
          <w:szCs w:val="25"/>
          <w:highlight w:val="none"/>
          <w:shd w:val="clear" w:color="auto" w:fill="ffffff"/>
          <w:lang w:val="en-US" w:eastAsia="zh-CN"/>
        </w:rPr>
        <w:t>年，我们坚持以绩效评价结果为标尺，严格执行奖优罚劣制度，切实解决绩效管理与预算管理“两张皮”现象。一是报告与公开。根据年度绩效评价开展情况，形成包括项目管理、资金绩效、问题不足、措施建议等内容的绩效评价综合报告，专题报告县政府、县人大，为领导决策和制定政策提供参考。同时，按照“谁评价谁公开”的原则，要求所有预算单位在政府网站上公开专项资金和部门整体支出绩效自评情况，做到“非涉密全公开”。二是反馈与整改。根据各单位重点绩效评价报告内容，整理出各单位的问题清单，原汁原味反馈给各预算单位，压实他们的主体责任，按照问题清单制定“一事一策”的要求，由各业务股室监督限期整改到位。三是与预算结合。将评价结果做为预算编制和安排部门预算以及专项资金动态调整的重要依据，实现预算安排与绩效优劣的真正挂钩，从源头上控制没有绩效和绩效低下的财政支出。四是与政府绩效评估结合。将全面实施预算绩效管理纳入县直单位绩效考核范畴，实现财政资金绩效管理与行政绩效考核的无缝对接，相互支撑。</w:t>
      </w: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80"/>
    <w:family w:val="auto"/>
    <w:pitch w:val="default"/>
    <w:sig w:usb0="E0002AFF" w:usb1="C0007841" w:usb2="00000009" w:usb3="00000000" w:csb0="400001FF" w:csb1="FFFF0000"/>
  </w:font>
  <w:font w:name="宋体">
    <w:altName w:val="宋体"/>
    <w:panose1 w:val="02010600030001010101"/>
    <w:charset w:val="50"/>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AFF" w:usb1="C0007843"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A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10002FF" w:usb1="4000ACFF" w:usb2="00000009" w:usb3="00000000" w:csb0="2000019F" w:csb1="00000000"/>
  </w:font>
  <w:font w:name="仿宋_GB2312">
    <w:altName w:val="仿宋_GB2312"/>
    <w:panose1 w:val="020106090300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67"/>
    <w:qFormat/>
    <w:uiPriority w:val="0"/>
    <w:pPr>
      <w:widowControl w:val="false"/>
      <w:jc w:val="both"/>
    </w:pPr>
    <w:rPr>
      <w:rFonts w:ascii="Calibri" w:cs="宋体" w:eastAsia="宋体" w:hAnsi="Calibri"/>
      <w:kern w:val="2"/>
      <w:sz w:val="21"/>
      <w:szCs w:val="24"/>
      <w:lang w:val="en-US" w:bidi="ar-SA" w:eastAsia="zh-CN"/>
    </w:rPr>
  </w:style>
  <w:style w:type="character" w:default="1" w:styleId="style65">
    <w:name w:val="Default Paragraph Font"/>
    <w:next w:val="style65"/>
    <w:qFormat/>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paragraph" w:styleId="style67">
    <w:name w:val="Body Text Indent"/>
    <w:basedOn w:val="style0"/>
    <w:next w:val="style67"/>
    <w:qFormat/>
    <w:uiPriority w:val="0"/>
    <w:pPr>
      <w:widowControl/>
      <w:adjustRightInd w:val="false"/>
      <w:snapToGrid w:val="false"/>
      <w:spacing w:after="200" w:lineRule="auto" w:line="360"/>
      <w:ind w:firstLine="560" w:firstLineChars="200"/>
      <w:jc w:val="left"/>
    </w:pPr>
    <w:rPr>
      <w:rFonts w:ascii="仿宋_GB2312" w:cs="宋体" w:eastAsia="仿宋_GB2312" w:hAnsi="仿宋_GB2312"/>
      <w:kern w:val="0"/>
      <w:sz w:val="22"/>
      <w:szCs w:val="20"/>
    </w:rPr>
  </w:style>
  <w:style w:type="paragraph" w:styleId="style94">
    <w:name w:val="Normal (Web)"/>
    <w:basedOn w:val="style0"/>
    <w:next w:val="style94"/>
    <w:qFormat/>
    <w:uiPriority w:val="0"/>
    <w:pPr>
      <w:spacing w:before="0" w:beforeAutospacing="true" w:after="0" w:afterAutospacing="true"/>
      <w:ind w:left="0" w:right="0"/>
      <w:jc w:val="left"/>
    </w:pPr>
    <w:rPr>
      <w:kern w:val="0"/>
      <w:sz w:val="24"/>
      <w:lang w:val="en-US" w:eastAsia="zh-CN"/>
    </w:rPr>
  </w:style>
  <w:style w:type="character" w:styleId="style87">
    <w:name w:val="Strong"/>
    <w:basedOn w:val="style65"/>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Words>11120</Words>
  <Pages>1</Pages>
  <Characters>12538</Characters>
  <Application>WPS Office</Application>
  <DocSecurity>0</DocSecurity>
  <Paragraphs>152</Paragraphs>
  <ScaleCrop>false</ScaleCrop>
  <LinksUpToDate>false</LinksUpToDate>
  <CharactersWithSpaces>12571</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2023-08-17T00:36:00Z</dcterms:created>
  <dc:creator>猪头</dc:creator>
  <lastModifiedBy>ALN-AL00</lastModifiedBy>
  <lastPrinted>2024-10-10T03:56:00Z</lastPrinted>
  <dcterms:modified xsi:type="dcterms:W3CDTF">2024-10-15T08:28:07Z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bf383baabdb840678f1c0f55c0f08baf_23</vt:lpwstr>
  </property>
</Properties>
</file>