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C3E0F" w14:textId="77777777" w:rsidR="0051301A" w:rsidRPr="009A60A4" w:rsidRDefault="0051301A" w:rsidP="0051301A">
      <w:pPr>
        <w:pStyle w:val="a7"/>
        <w:widowControl/>
        <w:shd w:val="clear" w:color="auto" w:fill="FFFFFF"/>
        <w:spacing w:beforeAutospacing="0" w:afterAutospacing="0" w:line="600" w:lineRule="exact"/>
        <w:ind w:firstLineChars="200" w:firstLine="640"/>
        <w:jc w:val="center"/>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桃源</w:t>
      </w:r>
      <w:proofErr w:type="gramStart"/>
      <w:r w:rsidRPr="009A60A4">
        <w:rPr>
          <w:rFonts w:ascii="宋体" w:eastAsia="宋体" w:hAnsi="宋体" w:cs="微软雅黑" w:hint="eastAsia"/>
          <w:color w:val="000000" w:themeColor="text1"/>
          <w:sz w:val="32"/>
          <w:szCs w:val="32"/>
          <w:shd w:val="clear" w:color="auto" w:fill="FFFFFF"/>
        </w:rPr>
        <w:t>县文学</w:t>
      </w:r>
      <w:proofErr w:type="gramEnd"/>
      <w:r w:rsidRPr="009A60A4">
        <w:rPr>
          <w:rFonts w:ascii="宋体" w:eastAsia="宋体" w:hAnsi="宋体" w:cs="微软雅黑" w:hint="eastAsia"/>
          <w:color w:val="000000" w:themeColor="text1"/>
          <w:sz w:val="32"/>
          <w:szCs w:val="32"/>
          <w:shd w:val="clear" w:color="auto" w:fill="FFFFFF"/>
        </w:rPr>
        <w:t>艺术界联合会2022年度部门整体支出绩效评价报告</w:t>
      </w:r>
    </w:p>
    <w:p w14:paraId="7B75752D"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 为强化财政支出资金管理，提高财政资金使用效益，根据桃源县财政局关于本年度本级财政安排的预算资金展开绩效自评的通知的精神，我们对2022年度桃源</w:t>
      </w:r>
      <w:proofErr w:type="gramStart"/>
      <w:r w:rsidRPr="009A60A4">
        <w:rPr>
          <w:rFonts w:ascii="宋体" w:eastAsia="宋体" w:hAnsi="宋体" w:cs="微软雅黑" w:hint="eastAsia"/>
          <w:color w:val="000000" w:themeColor="text1"/>
          <w:sz w:val="32"/>
          <w:szCs w:val="32"/>
          <w:shd w:val="clear" w:color="auto" w:fill="FFFFFF"/>
        </w:rPr>
        <w:t>县文学</w:t>
      </w:r>
      <w:proofErr w:type="gramEnd"/>
      <w:r w:rsidRPr="009A60A4">
        <w:rPr>
          <w:rFonts w:ascii="宋体" w:eastAsia="宋体" w:hAnsi="宋体" w:cs="微软雅黑" w:hint="eastAsia"/>
          <w:color w:val="000000" w:themeColor="text1"/>
          <w:sz w:val="32"/>
          <w:szCs w:val="32"/>
          <w:shd w:val="clear" w:color="auto" w:fill="FFFFFF"/>
        </w:rPr>
        <w:t>艺术界联合会部门整体支出进行了绩效评价，形成本报告。</w:t>
      </w:r>
    </w:p>
    <w:p w14:paraId="641D343C"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一、部门概况</w:t>
      </w:r>
    </w:p>
    <w:p w14:paraId="4F69C96C"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w:t>
      </w:r>
      <w:proofErr w:type="gramStart"/>
      <w:r w:rsidRPr="009A60A4">
        <w:rPr>
          <w:rFonts w:ascii="宋体" w:eastAsia="宋体" w:hAnsi="宋体" w:cs="微软雅黑" w:hint="eastAsia"/>
          <w:color w:val="000000" w:themeColor="text1"/>
          <w:sz w:val="32"/>
          <w:szCs w:val="32"/>
          <w:shd w:val="clear" w:color="auto" w:fill="FFFFFF"/>
        </w:rPr>
        <w:t>一</w:t>
      </w:r>
      <w:proofErr w:type="gramEnd"/>
      <w:r w:rsidRPr="009A60A4">
        <w:rPr>
          <w:rFonts w:ascii="宋体" w:eastAsia="宋体" w:hAnsi="宋体" w:cs="微软雅黑" w:hint="eastAsia"/>
          <w:color w:val="000000" w:themeColor="text1"/>
          <w:sz w:val="32"/>
          <w:szCs w:val="32"/>
          <w:shd w:val="clear" w:color="auto" w:fill="FFFFFF"/>
        </w:rPr>
        <w:t>)机构、人员构成、单位基本情况：桃源</w:t>
      </w:r>
      <w:proofErr w:type="gramStart"/>
      <w:r w:rsidRPr="009A60A4">
        <w:rPr>
          <w:rFonts w:ascii="宋体" w:eastAsia="宋体" w:hAnsi="宋体" w:cs="微软雅黑" w:hint="eastAsia"/>
          <w:color w:val="000000" w:themeColor="text1"/>
          <w:sz w:val="32"/>
          <w:szCs w:val="32"/>
          <w:shd w:val="clear" w:color="auto" w:fill="FFFFFF"/>
        </w:rPr>
        <w:t>县文学</w:t>
      </w:r>
      <w:proofErr w:type="gramEnd"/>
      <w:r w:rsidRPr="009A60A4">
        <w:rPr>
          <w:rFonts w:ascii="宋体" w:eastAsia="宋体" w:hAnsi="宋体" w:cs="微软雅黑" w:hint="eastAsia"/>
          <w:color w:val="000000" w:themeColor="text1"/>
          <w:sz w:val="32"/>
          <w:szCs w:val="32"/>
          <w:shd w:val="clear" w:color="auto" w:fill="FFFFFF"/>
        </w:rPr>
        <w:t>艺术界联合会（简称文联）是中共桃源县委领导下的群众团体，隶属县委宣传部，是1984年7月成立的正科级行政单位，全额拨款的行政单位。文联机构编制为4人，设主席、副主席，空编2人；所属下级机构“县文艺创作交流服务中心”属于全额拨款的二级正股级事业单位，设主任，空编1人。无收费职能。</w:t>
      </w:r>
    </w:p>
    <w:p w14:paraId="28611618"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二）主要职责：其主要任务和职能是联络、服务、协调，管理与指导文艺工作，培养文艺人才，组织开展各项文艺活动，充当党委政府联系文艺工作者的桥梁和纽带，为文学艺术界会员搞好联络、服务和协调，促进文艺的繁荣与发展，为县委县政府中心服务。</w:t>
      </w:r>
    </w:p>
    <w:p w14:paraId="2F9952BD"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（三）2022年度情况：桃源县文联现有干部10人(其中在职3人，退休7人)，设主席一名、副主席一名，还有下级机构“县文艺创作交流服务中心”1名工作人员。文联下辖11个协会，含</w:t>
      </w:r>
      <w:proofErr w:type="gramStart"/>
      <w:r w:rsidRPr="009A60A4">
        <w:rPr>
          <w:rFonts w:ascii="宋体" w:eastAsia="宋体" w:hAnsi="宋体" w:cs="微软雅黑" w:hint="eastAsia"/>
          <w:color w:val="000000" w:themeColor="text1"/>
          <w:sz w:val="32"/>
          <w:szCs w:val="32"/>
          <w:shd w:val="clear" w:color="auto" w:fill="FFFFFF"/>
        </w:rPr>
        <w:t>县作家</w:t>
      </w:r>
      <w:proofErr w:type="gramEnd"/>
      <w:r w:rsidRPr="009A60A4">
        <w:rPr>
          <w:rFonts w:ascii="宋体" w:eastAsia="宋体" w:hAnsi="宋体" w:cs="微软雅黑" w:hint="eastAsia"/>
          <w:color w:val="000000" w:themeColor="text1"/>
          <w:sz w:val="32"/>
          <w:szCs w:val="32"/>
          <w:shd w:val="clear" w:color="auto" w:fill="FFFFFF"/>
        </w:rPr>
        <w:t>协会、戏剧家协会、京剧家协会、音乐家协会、舞蹈家协</w:t>
      </w:r>
      <w:r w:rsidRPr="009A60A4">
        <w:rPr>
          <w:rFonts w:ascii="宋体" w:eastAsia="宋体" w:hAnsi="宋体" w:cs="微软雅黑" w:hint="eastAsia"/>
          <w:color w:val="000000" w:themeColor="text1"/>
          <w:sz w:val="32"/>
          <w:szCs w:val="32"/>
          <w:shd w:val="clear" w:color="auto" w:fill="FFFFFF"/>
        </w:rPr>
        <w:lastRenderedPageBreak/>
        <w:t>会、书法家协会、美术家协会、摄影家协会、诗词楹联学会、新钢笔画家协会、朗诵演讲协会，共有各门类文艺协会会员近3000名。</w:t>
      </w:r>
    </w:p>
    <w:p w14:paraId="2807E318"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二、2022年度部门财务情况</w:t>
      </w:r>
    </w:p>
    <w:p w14:paraId="519FDFAB"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（一）部门整体收支情况</w:t>
      </w:r>
    </w:p>
    <w:p w14:paraId="7D5475B0"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2022年年度收入支出预算执行情况：本年度财政拨款收入79.8万元，其他收入4.71万元，加上年结转指标25.83万元，全年总计收入110.34万元。本年支出决算110.34万元，本年支出中:1基本支出82.8万元，其中人员经费支出54.99万元，日常公用经费支出27.81元。2、项目支出27.54万元。包括</w:t>
      </w:r>
      <w:proofErr w:type="gramStart"/>
      <w:r w:rsidRPr="009A60A4">
        <w:rPr>
          <w:rFonts w:ascii="宋体" w:eastAsia="宋体" w:hAnsi="宋体" w:cs="微软雅黑" w:hint="eastAsia"/>
          <w:color w:val="000000" w:themeColor="text1"/>
          <w:sz w:val="32"/>
          <w:szCs w:val="32"/>
          <w:shd w:val="clear" w:color="auto" w:fill="FFFFFF"/>
        </w:rPr>
        <w:t>县作家</w:t>
      </w:r>
      <w:proofErr w:type="gramEnd"/>
      <w:r w:rsidRPr="009A60A4">
        <w:rPr>
          <w:rFonts w:ascii="宋体" w:eastAsia="宋体" w:hAnsi="宋体" w:cs="微软雅黑" w:hint="eastAsia"/>
          <w:color w:val="000000" w:themeColor="text1"/>
          <w:sz w:val="32"/>
          <w:szCs w:val="32"/>
          <w:shd w:val="clear" w:color="auto" w:fill="FFFFFF"/>
        </w:rPr>
        <w:t>协会、书法家协会、美术家协会、诗词楹联学会、新钢笔画家协会、摄影家协会、朗诵演讲协会、舞蹈家协会、京剧协会、戏剧协会、音乐家协会等协会的费用。本年度收支(包括三公经费）没有超预算。 </w:t>
      </w:r>
    </w:p>
    <w:p w14:paraId="2C33E796"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（二）“三公经费”支出（金额单位：万元）</w:t>
      </w:r>
    </w:p>
    <w:tbl>
      <w:tblPr>
        <w:tblW w:w="8415" w:type="dxa"/>
        <w:tblCellMar>
          <w:left w:w="0" w:type="dxa"/>
          <w:right w:w="0" w:type="dxa"/>
        </w:tblCellMar>
        <w:tblLook w:val="04A0" w:firstRow="1" w:lastRow="0" w:firstColumn="1" w:lastColumn="0" w:noHBand="0" w:noVBand="1"/>
      </w:tblPr>
      <w:tblGrid>
        <w:gridCol w:w="2926"/>
        <w:gridCol w:w="1499"/>
        <w:gridCol w:w="1526"/>
        <w:gridCol w:w="1474"/>
        <w:gridCol w:w="990"/>
      </w:tblGrid>
      <w:tr w:rsidR="0051301A" w:rsidRPr="009A60A4" w14:paraId="6CE414F3" w14:textId="77777777" w:rsidTr="00786DED">
        <w:trPr>
          <w:trHeight w:val="286"/>
        </w:trPr>
        <w:tc>
          <w:tcPr>
            <w:tcW w:w="295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5E4828B4"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指    标</w:t>
            </w:r>
          </w:p>
        </w:tc>
        <w:tc>
          <w:tcPr>
            <w:tcW w:w="151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114E589C"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本年度决算</w:t>
            </w:r>
          </w:p>
        </w:tc>
        <w:tc>
          <w:tcPr>
            <w:tcW w:w="154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05AA1CA3"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上年度决算</w:t>
            </w:r>
          </w:p>
        </w:tc>
        <w:tc>
          <w:tcPr>
            <w:tcW w:w="151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6A194306"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比上年增减</w:t>
            </w:r>
          </w:p>
        </w:tc>
        <w:tc>
          <w:tcPr>
            <w:tcW w:w="88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662D24A7"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增减％</w:t>
            </w:r>
          </w:p>
        </w:tc>
      </w:tr>
      <w:tr w:rsidR="0051301A" w:rsidRPr="009A60A4" w14:paraId="59036330" w14:textId="77777777" w:rsidTr="00786DED">
        <w:trPr>
          <w:trHeight w:val="283"/>
        </w:trPr>
        <w:tc>
          <w:tcPr>
            <w:tcW w:w="295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050498E7"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“三公”经费支出</w:t>
            </w:r>
          </w:p>
        </w:tc>
        <w:tc>
          <w:tcPr>
            <w:tcW w:w="151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1C6A9BAE"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hint="eastAsia"/>
                <w:color w:val="000000" w:themeColor="text1"/>
                <w:sz w:val="32"/>
                <w:szCs w:val="32"/>
              </w:rPr>
              <w:t>0.57</w:t>
            </w:r>
          </w:p>
        </w:tc>
        <w:tc>
          <w:tcPr>
            <w:tcW w:w="154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40E319CF"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hint="eastAsia"/>
                <w:color w:val="000000" w:themeColor="text1"/>
                <w:sz w:val="32"/>
                <w:szCs w:val="32"/>
              </w:rPr>
              <w:t>1.44</w:t>
            </w:r>
          </w:p>
        </w:tc>
        <w:tc>
          <w:tcPr>
            <w:tcW w:w="151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6361EB7F"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w:t>
            </w:r>
            <w:r w:rsidRPr="009A60A4">
              <w:rPr>
                <w:rFonts w:ascii="宋体" w:eastAsia="宋体" w:hAnsi="宋体" w:hint="eastAsia"/>
                <w:color w:val="000000" w:themeColor="text1"/>
                <w:sz w:val="32"/>
                <w:szCs w:val="32"/>
              </w:rPr>
              <w:t>0.87</w:t>
            </w:r>
          </w:p>
        </w:tc>
        <w:tc>
          <w:tcPr>
            <w:tcW w:w="88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3E94440C"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hint="eastAsia"/>
                <w:color w:val="000000" w:themeColor="text1"/>
                <w:sz w:val="32"/>
                <w:szCs w:val="32"/>
              </w:rPr>
              <w:t>-60.42</w:t>
            </w:r>
          </w:p>
        </w:tc>
      </w:tr>
      <w:tr w:rsidR="0051301A" w:rsidRPr="009A60A4" w14:paraId="4BF5A9F7" w14:textId="77777777" w:rsidTr="00786DED">
        <w:trPr>
          <w:trHeight w:val="286"/>
        </w:trPr>
        <w:tc>
          <w:tcPr>
            <w:tcW w:w="295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720118AD"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其中：因公出国（境）费</w:t>
            </w:r>
          </w:p>
        </w:tc>
        <w:tc>
          <w:tcPr>
            <w:tcW w:w="151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2F1CA8CC"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c>
          <w:tcPr>
            <w:tcW w:w="154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79846F00"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c>
          <w:tcPr>
            <w:tcW w:w="151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68A34B7C"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c>
          <w:tcPr>
            <w:tcW w:w="88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5B93B0E2"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r>
      <w:tr w:rsidR="0051301A" w:rsidRPr="009A60A4" w14:paraId="64EFECD7" w14:textId="77777777" w:rsidTr="00786DED">
        <w:trPr>
          <w:trHeight w:val="286"/>
        </w:trPr>
        <w:tc>
          <w:tcPr>
            <w:tcW w:w="295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2A8636BC"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lastRenderedPageBreak/>
              <w:t>公务用车购置及运行维护费</w:t>
            </w:r>
          </w:p>
        </w:tc>
        <w:tc>
          <w:tcPr>
            <w:tcW w:w="151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79EE8124"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c>
          <w:tcPr>
            <w:tcW w:w="154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4DDD40C8"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c>
          <w:tcPr>
            <w:tcW w:w="151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3C0B187D"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c>
          <w:tcPr>
            <w:tcW w:w="88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10B75977"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r>
      <w:tr w:rsidR="0051301A" w:rsidRPr="009A60A4" w14:paraId="74CB5E1E" w14:textId="77777777" w:rsidTr="00786DED">
        <w:trPr>
          <w:trHeight w:val="286"/>
        </w:trPr>
        <w:tc>
          <w:tcPr>
            <w:tcW w:w="295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635DE04D"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其中：公务用车购置费</w:t>
            </w:r>
          </w:p>
        </w:tc>
        <w:tc>
          <w:tcPr>
            <w:tcW w:w="151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2372CEE7"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c>
          <w:tcPr>
            <w:tcW w:w="154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06784119"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c>
          <w:tcPr>
            <w:tcW w:w="151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4E661301"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c>
          <w:tcPr>
            <w:tcW w:w="88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3CF3ECAC"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r>
      <w:tr w:rsidR="0051301A" w:rsidRPr="009A60A4" w14:paraId="01052ECD" w14:textId="77777777" w:rsidTr="00786DED">
        <w:trPr>
          <w:trHeight w:val="286"/>
        </w:trPr>
        <w:tc>
          <w:tcPr>
            <w:tcW w:w="295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38E6AAB9"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公务用车运行维护费</w:t>
            </w:r>
          </w:p>
        </w:tc>
        <w:tc>
          <w:tcPr>
            <w:tcW w:w="151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04303E92"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c>
          <w:tcPr>
            <w:tcW w:w="154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49DD25D4"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c>
          <w:tcPr>
            <w:tcW w:w="151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44011819"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c>
          <w:tcPr>
            <w:tcW w:w="88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79064800"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p>
        </w:tc>
      </w:tr>
      <w:tr w:rsidR="0051301A" w:rsidRPr="009A60A4" w14:paraId="592674D8" w14:textId="77777777" w:rsidTr="00786DED">
        <w:trPr>
          <w:trHeight w:val="286"/>
        </w:trPr>
        <w:tc>
          <w:tcPr>
            <w:tcW w:w="295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3EE11942"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3.5公务接待费</w:t>
            </w:r>
          </w:p>
        </w:tc>
        <w:tc>
          <w:tcPr>
            <w:tcW w:w="151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5C92C7F3"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hint="eastAsia"/>
                <w:color w:val="000000" w:themeColor="text1"/>
                <w:sz w:val="32"/>
                <w:szCs w:val="32"/>
              </w:rPr>
              <w:t>0.57</w:t>
            </w:r>
          </w:p>
        </w:tc>
        <w:tc>
          <w:tcPr>
            <w:tcW w:w="154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060DABD1"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1.4</w:t>
            </w:r>
            <w:r w:rsidRPr="009A60A4">
              <w:rPr>
                <w:rFonts w:ascii="宋体" w:eastAsia="宋体" w:hAnsi="宋体" w:hint="eastAsia"/>
                <w:color w:val="000000" w:themeColor="text1"/>
                <w:sz w:val="32"/>
                <w:szCs w:val="32"/>
              </w:rPr>
              <w:t>4</w:t>
            </w:r>
          </w:p>
        </w:tc>
        <w:tc>
          <w:tcPr>
            <w:tcW w:w="151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5585320A"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color w:val="000000" w:themeColor="text1"/>
                <w:sz w:val="32"/>
                <w:szCs w:val="32"/>
              </w:rPr>
              <w:t>-0.</w:t>
            </w:r>
            <w:r w:rsidRPr="009A60A4">
              <w:rPr>
                <w:rFonts w:ascii="宋体" w:eastAsia="宋体" w:hAnsi="宋体" w:hint="eastAsia"/>
                <w:color w:val="000000" w:themeColor="text1"/>
                <w:sz w:val="32"/>
                <w:szCs w:val="32"/>
              </w:rPr>
              <w:t>87</w:t>
            </w:r>
          </w:p>
        </w:tc>
        <w:tc>
          <w:tcPr>
            <w:tcW w:w="885" w:type="dxa"/>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15" w:type="dxa"/>
              <w:right w:w="15" w:type="dxa"/>
            </w:tcMar>
            <w:vAlign w:val="center"/>
          </w:tcPr>
          <w:p w14:paraId="71DD7D8D" w14:textId="77777777" w:rsidR="0051301A" w:rsidRPr="009A60A4" w:rsidRDefault="0051301A" w:rsidP="00786DED">
            <w:pPr>
              <w:pStyle w:val="a7"/>
              <w:widowControl/>
              <w:spacing w:beforeAutospacing="0" w:afterAutospacing="0" w:line="600" w:lineRule="exact"/>
              <w:ind w:firstLineChars="200" w:firstLine="640"/>
              <w:rPr>
                <w:rFonts w:ascii="宋体" w:eastAsia="宋体" w:hAnsi="宋体"/>
                <w:color w:val="000000" w:themeColor="text1"/>
                <w:sz w:val="32"/>
                <w:szCs w:val="32"/>
              </w:rPr>
            </w:pPr>
            <w:r w:rsidRPr="009A60A4">
              <w:rPr>
                <w:rFonts w:ascii="宋体" w:eastAsia="宋体" w:hAnsi="宋体" w:hint="eastAsia"/>
                <w:color w:val="000000" w:themeColor="text1"/>
                <w:sz w:val="32"/>
                <w:szCs w:val="32"/>
              </w:rPr>
              <w:t>-60.42</w:t>
            </w:r>
          </w:p>
        </w:tc>
      </w:tr>
    </w:tbl>
    <w:p w14:paraId="335D6E97"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2022年“三公”经费支出中，公务接待费0.57万元；2021年“三公”经费决算数中公务接待费1.44元，减少0.87万元，减少60.42%，减少的原因是单位厉行节约，节省了费用开支。</w:t>
      </w:r>
    </w:p>
    <w:p w14:paraId="226874D1"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（三）政府采购有预算，但没有实际发生，因办公室没有搬迁，国有资产有</w:t>
      </w:r>
      <w:proofErr w:type="gramStart"/>
      <w:r w:rsidRPr="009A60A4">
        <w:rPr>
          <w:rFonts w:ascii="宋体" w:eastAsia="宋体" w:hAnsi="宋体" w:cs="微软雅黑" w:hint="eastAsia"/>
          <w:color w:val="000000" w:themeColor="text1"/>
          <w:sz w:val="32"/>
          <w:szCs w:val="32"/>
          <w:shd w:val="clear" w:color="auto" w:fill="FFFFFF"/>
        </w:rPr>
        <w:t>超使用</w:t>
      </w:r>
      <w:proofErr w:type="gramEnd"/>
      <w:r w:rsidRPr="009A60A4">
        <w:rPr>
          <w:rFonts w:ascii="宋体" w:eastAsia="宋体" w:hAnsi="宋体" w:cs="微软雅黑" w:hint="eastAsia"/>
          <w:color w:val="000000" w:themeColor="text1"/>
          <w:sz w:val="32"/>
          <w:szCs w:val="32"/>
          <w:shd w:val="clear" w:color="auto" w:fill="FFFFFF"/>
        </w:rPr>
        <w:t>年限内的，但没有办理报废。本单位无重点项目。</w:t>
      </w:r>
    </w:p>
    <w:p w14:paraId="1C56473A"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四）本部门2022年度机关运行经费支出23.10万元，其中：办公费2.82万元，印刷费6.23万元，电费0.6万元，邮电费0.52万元，公务接待费0.57万元，劳务费3.33万元，工会经费1.98万元，其他交通费用0.52万元，其他商品和服务支出6.53万元。2022年度机关运行经费比2021年度的33.97万元减少了10.87万元，减少的原因是厉行节约，压缩费用开支。项目支出27.54万元。包括</w:t>
      </w:r>
      <w:proofErr w:type="gramStart"/>
      <w:r w:rsidRPr="009A60A4">
        <w:rPr>
          <w:rFonts w:ascii="宋体" w:eastAsia="宋体" w:hAnsi="宋体" w:cs="微软雅黑" w:hint="eastAsia"/>
          <w:color w:val="000000" w:themeColor="text1"/>
          <w:sz w:val="32"/>
          <w:szCs w:val="32"/>
          <w:shd w:val="clear" w:color="auto" w:fill="FFFFFF"/>
        </w:rPr>
        <w:t>县作家</w:t>
      </w:r>
      <w:proofErr w:type="gramEnd"/>
      <w:r w:rsidRPr="009A60A4">
        <w:rPr>
          <w:rFonts w:ascii="宋体" w:eastAsia="宋体" w:hAnsi="宋体" w:cs="微软雅黑" w:hint="eastAsia"/>
          <w:color w:val="000000" w:themeColor="text1"/>
          <w:sz w:val="32"/>
          <w:szCs w:val="32"/>
          <w:shd w:val="clear" w:color="auto" w:fill="FFFFFF"/>
        </w:rPr>
        <w:t>协会、京剧家协会活动支出13.97万元及资本性支出13.57万元。</w:t>
      </w:r>
    </w:p>
    <w:p w14:paraId="34F7329E"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lastRenderedPageBreak/>
        <w:t>（五）年末结转和结余情况：</w:t>
      </w:r>
    </w:p>
    <w:p w14:paraId="0A5DBA3C"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年末无结余。</w:t>
      </w:r>
    </w:p>
    <w:p w14:paraId="48BE3350"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（六）决算收支增减变化情况及说明：</w:t>
      </w:r>
    </w:p>
    <w:p w14:paraId="43C361A6"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年度收入84.51万元，加上年结转指标25.83元，全年总计收入110.34万元，其中财政拨款收入105.63，其他收入4.71万元。2022年收入比2021年决算收入117.61万元，减少7.27万元，减少0.62%，减少的原因是厉行节约，压缩费用开支。</w:t>
      </w:r>
    </w:p>
    <w:p w14:paraId="3985F220"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本年度支出决算110.34万元。2022年支出比2021年决算支出117.61万元减少7.27万元，减少0.62%，减少的原因是：减少的原因是厉行节约，压缩费用开支。</w:t>
      </w:r>
    </w:p>
    <w:p w14:paraId="62A680C7"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三、部门绩效目标</w:t>
      </w:r>
    </w:p>
    <w:p w14:paraId="28A73340"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（一）部门绩效总目标</w:t>
      </w:r>
    </w:p>
    <w:p w14:paraId="3165F9BD"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文联紧紧围绕“团结引领、联络协调、服务管理、自律维权”文联工作十六字总方针，注重打基础、利长远，坚守出精品、出人才，文艺服务中心的力度不减，出精品、出人才的数量不降。本年不仅搞好了全县文艺工作者的组织、联络、服务、协调，管理与指导文艺工作，搞好了日常工作，拓展了文艺发展阵地，发现了文艺新人、培养了文艺人才，培育了精品力作，组织开展各项文艺活动，充当党委政府联系文艺工作者的桥梁和纽带，促进文艺的繁荣与发展，为县委县政府中心工作服务，继续保持了桃源文联在全市、全省先进的地位不变。</w:t>
      </w:r>
    </w:p>
    <w:p w14:paraId="302A992F"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（二）年度部门绩效目标</w:t>
      </w:r>
    </w:p>
    <w:p w14:paraId="6D436B86"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lastRenderedPageBreak/>
        <w:t>组织和加强全县文艺工作者的联系，为他们进行了周到的服务，协调各方面的关系，对文艺工作进行了有利的管理与指导，培养文艺新人，组织开展丰富多彩的各项文艺活动，培养出精品力作，切实担当起党委政府联系文艺工作者的桥梁和纽带，促进文艺的繁荣与发展，为县委县政府中心工作服务。</w:t>
      </w:r>
    </w:p>
    <w:p w14:paraId="4E80F082"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四、绩效评价工作情况</w:t>
      </w:r>
    </w:p>
    <w:p w14:paraId="43979CBE"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（一）成立评价工作小组，加强组织领导；</w:t>
      </w:r>
    </w:p>
    <w:p w14:paraId="2A6505FB"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（二）组织、参加专门的绩效评价培训、学习；</w:t>
      </w:r>
    </w:p>
    <w:p w14:paraId="00A349AD"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（三）及时按要求</w:t>
      </w:r>
      <w:proofErr w:type="gramStart"/>
      <w:r w:rsidRPr="009A60A4">
        <w:rPr>
          <w:rFonts w:ascii="宋体" w:eastAsia="宋体" w:hAnsi="宋体" w:cs="微软雅黑" w:hint="eastAsia"/>
          <w:color w:val="000000" w:themeColor="text1"/>
          <w:sz w:val="32"/>
          <w:szCs w:val="32"/>
          <w:shd w:val="clear" w:color="auto" w:fill="FFFFFF"/>
        </w:rPr>
        <w:t>作出</w:t>
      </w:r>
      <w:proofErr w:type="gramEnd"/>
      <w:r w:rsidRPr="009A60A4">
        <w:rPr>
          <w:rFonts w:ascii="宋体" w:eastAsia="宋体" w:hAnsi="宋体" w:cs="微软雅黑" w:hint="eastAsia"/>
          <w:color w:val="000000" w:themeColor="text1"/>
          <w:sz w:val="32"/>
          <w:szCs w:val="32"/>
          <w:shd w:val="clear" w:color="auto" w:fill="FFFFFF"/>
        </w:rPr>
        <w:t>进度安排，进行绩效评价；</w:t>
      </w:r>
    </w:p>
    <w:p w14:paraId="134E1D02"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（四）完善绩效评价内容。</w:t>
      </w:r>
    </w:p>
    <w:p w14:paraId="36BBA12E"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五、综合评价结果</w:t>
      </w:r>
    </w:p>
    <w:p w14:paraId="572343AE"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据定量分析和定性分析，从预算编制、执行、资金使用、监管以及财务会计信息、项目组织管理、项目绩效完成等方面对专项进行了综合评价，形成绩效评价结论。本次绩效评价部门整体得96分。</w:t>
      </w:r>
    </w:p>
    <w:p w14:paraId="7EE843D2"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六、部门整体支出绩效情况</w:t>
      </w:r>
    </w:p>
    <w:p w14:paraId="2F7ED8C9" w14:textId="77777777" w:rsidR="0051301A" w:rsidRPr="009A60A4" w:rsidRDefault="0051301A" w:rsidP="0051301A">
      <w:pPr>
        <w:pStyle w:val="a7"/>
        <w:widowControl/>
        <w:shd w:val="clear" w:color="auto" w:fill="FFFFFF"/>
        <w:spacing w:beforeAutospacing="0" w:afterAutospacing="0" w:line="600" w:lineRule="exact"/>
        <w:ind w:firstLineChars="200" w:firstLine="640"/>
        <w:rPr>
          <w:rFonts w:ascii="宋体" w:eastAsia="宋体" w:hAnsi="宋体" w:cs="微软雅黑"/>
          <w:color w:val="000000" w:themeColor="text1"/>
          <w:sz w:val="32"/>
          <w:szCs w:val="32"/>
        </w:rPr>
      </w:pPr>
      <w:r w:rsidRPr="009A60A4">
        <w:rPr>
          <w:rFonts w:ascii="宋体" w:eastAsia="宋体" w:hAnsi="宋体" w:cs="微软雅黑" w:hint="eastAsia"/>
          <w:color w:val="000000" w:themeColor="text1"/>
          <w:sz w:val="32"/>
          <w:szCs w:val="32"/>
          <w:shd w:val="clear" w:color="auto" w:fill="FFFFFF"/>
        </w:rPr>
        <w:t>2022年，我会加强资金管理、严控“三公”经费，在落实厉行节约等方面取得了较好的效果，严格按相关规定进行信息公开（预算、决算等），会计资料真实完整。</w:t>
      </w:r>
    </w:p>
    <w:p w14:paraId="304F567C" w14:textId="77777777" w:rsidR="0051301A" w:rsidRPr="009A60A4" w:rsidRDefault="0051301A" w:rsidP="0051301A">
      <w:pPr>
        <w:spacing w:line="600" w:lineRule="exact"/>
        <w:ind w:firstLineChars="200" w:firstLine="640"/>
        <w:rPr>
          <w:rFonts w:ascii="宋体" w:eastAsia="宋体" w:hAnsi="宋体"/>
          <w:color w:val="000000" w:themeColor="text1"/>
          <w:sz w:val="32"/>
          <w:szCs w:val="32"/>
        </w:rPr>
      </w:pPr>
    </w:p>
    <w:p w14:paraId="48C7E840" w14:textId="77777777" w:rsidR="00B75509" w:rsidRPr="0051301A" w:rsidRDefault="00B75509"/>
    <w:sectPr w:rsidR="00B75509" w:rsidRPr="0051301A">
      <w:pgSz w:w="11906" w:h="16838"/>
      <w:pgMar w:top="1587" w:right="1417" w:bottom="158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8B4C" w14:textId="77777777" w:rsidR="005E03CD" w:rsidRDefault="005E03CD" w:rsidP="0051301A">
      <w:r>
        <w:separator/>
      </w:r>
    </w:p>
  </w:endnote>
  <w:endnote w:type="continuationSeparator" w:id="0">
    <w:p w14:paraId="45A48802" w14:textId="77777777" w:rsidR="005E03CD" w:rsidRDefault="005E03CD" w:rsidP="0051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4BB3F" w14:textId="77777777" w:rsidR="005E03CD" w:rsidRDefault="005E03CD" w:rsidP="0051301A">
      <w:r>
        <w:separator/>
      </w:r>
    </w:p>
  </w:footnote>
  <w:footnote w:type="continuationSeparator" w:id="0">
    <w:p w14:paraId="2AEF895E" w14:textId="77777777" w:rsidR="005E03CD" w:rsidRDefault="005E03CD" w:rsidP="00513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DB"/>
    <w:rsid w:val="002518DB"/>
    <w:rsid w:val="0051301A"/>
    <w:rsid w:val="005E03CD"/>
    <w:rsid w:val="00B75509"/>
    <w:rsid w:val="00BF5DF2"/>
    <w:rsid w:val="00F5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BD932-9420-4516-869D-C4D0544C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01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0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301A"/>
    <w:rPr>
      <w:sz w:val="18"/>
      <w:szCs w:val="18"/>
    </w:rPr>
  </w:style>
  <w:style w:type="paragraph" w:styleId="a5">
    <w:name w:val="footer"/>
    <w:basedOn w:val="a"/>
    <w:link w:val="a6"/>
    <w:uiPriority w:val="99"/>
    <w:unhideWhenUsed/>
    <w:rsid w:val="0051301A"/>
    <w:pPr>
      <w:tabs>
        <w:tab w:val="center" w:pos="4153"/>
        <w:tab w:val="right" w:pos="8306"/>
      </w:tabs>
      <w:snapToGrid w:val="0"/>
      <w:jc w:val="left"/>
    </w:pPr>
    <w:rPr>
      <w:sz w:val="18"/>
      <w:szCs w:val="18"/>
    </w:rPr>
  </w:style>
  <w:style w:type="character" w:customStyle="1" w:styleId="a6">
    <w:name w:val="页脚 字符"/>
    <w:basedOn w:val="a0"/>
    <w:link w:val="a5"/>
    <w:uiPriority w:val="99"/>
    <w:rsid w:val="0051301A"/>
    <w:rPr>
      <w:sz w:val="18"/>
      <w:szCs w:val="18"/>
    </w:rPr>
  </w:style>
  <w:style w:type="paragraph" w:styleId="a7">
    <w:name w:val="Normal (Web)"/>
    <w:basedOn w:val="a"/>
    <w:qFormat/>
    <w:rsid w:val="0051301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3043796989@qq.com</dc:creator>
  <cp:keywords/>
  <dc:description/>
  <cp:lastModifiedBy>3043796989@qq.com</cp:lastModifiedBy>
  <cp:revision>2</cp:revision>
  <dcterms:created xsi:type="dcterms:W3CDTF">2024-10-16T05:42:00Z</dcterms:created>
  <dcterms:modified xsi:type="dcterms:W3CDTF">2024-10-16T05:42:00Z</dcterms:modified>
</cp:coreProperties>
</file>