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附件</w:t>
      </w:r>
      <w:r>
        <w:rPr>
          <w:rFonts w:ascii="Times New Roman" w:hAnsi="Times New Roman" w:eastAsia="仿宋_GB2312" w:cs="Times New Roman"/>
          <w:kern w:val="0"/>
          <w:sz w:val="32"/>
          <w:szCs w:val="32"/>
        </w:rPr>
        <w:t>4</w:t>
      </w:r>
    </w:p>
    <w:p>
      <w:pPr>
        <w:spacing w:line="560" w:lineRule="exact"/>
        <w:jc w:val="center"/>
        <w:rPr>
          <w:rFonts w:ascii="Times New Roman" w:hAnsi="Times New Roman" w:eastAsia="方正小标宋_GBK" w:cs="Times New Roman"/>
          <w:kern w:val="0"/>
          <w:sz w:val="44"/>
          <w:szCs w:val="44"/>
        </w:rPr>
      </w:pPr>
    </w:p>
    <w:p>
      <w:pPr>
        <w:spacing w:line="600" w:lineRule="exact"/>
        <w:jc w:val="center"/>
        <w:rPr>
          <w:rFonts w:hint="eastAsia" w:ascii="宋体" w:hAnsi="宋体" w:cs="宋体"/>
          <w:b/>
          <w:bCs/>
          <w:spacing w:val="-10"/>
          <w:kern w:val="0"/>
          <w:sz w:val="44"/>
          <w:szCs w:val="44"/>
        </w:rPr>
      </w:pPr>
      <w:r>
        <w:rPr>
          <w:rFonts w:ascii="宋体" w:hAnsi="宋体" w:cs="宋体"/>
          <w:b/>
          <w:bCs/>
          <w:spacing w:val="-10"/>
          <w:kern w:val="0"/>
          <w:sz w:val="44"/>
          <w:szCs w:val="44"/>
        </w:rPr>
        <w:t>202</w:t>
      </w:r>
      <w:r>
        <w:rPr>
          <w:rFonts w:hint="eastAsia" w:ascii="宋体" w:hAnsi="宋体" w:cs="宋体"/>
          <w:b/>
          <w:bCs/>
          <w:spacing w:val="-10"/>
          <w:kern w:val="0"/>
          <w:sz w:val="44"/>
          <w:szCs w:val="44"/>
          <w:lang w:val="en-US" w:eastAsia="zh-CN"/>
        </w:rPr>
        <w:t>2</w:t>
      </w:r>
      <w:r>
        <w:rPr>
          <w:rFonts w:hint="eastAsia" w:ascii="宋体" w:hAnsi="宋体" w:cs="宋体"/>
          <w:b/>
          <w:bCs/>
          <w:spacing w:val="-10"/>
          <w:kern w:val="0"/>
          <w:sz w:val="44"/>
          <w:szCs w:val="44"/>
        </w:rPr>
        <w:t>年度</w:t>
      </w:r>
      <w:r>
        <w:rPr>
          <w:rFonts w:hint="eastAsia" w:ascii="宋体" w:hAnsi="宋体" w:cs="宋体"/>
          <w:b/>
          <w:bCs/>
          <w:spacing w:val="-10"/>
          <w:kern w:val="0"/>
          <w:sz w:val="44"/>
          <w:szCs w:val="44"/>
          <w:lang w:eastAsia="zh-CN"/>
        </w:rPr>
        <w:t>泥窝潭乡</w:t>
      </w:r>
      <w:r>
        <w:rPr>
          <w:rFonts w:hint="eastAsia" w:ascii="宋体" w:hAnsi="宋体" w:cs="宋体"/>
          <w:b/>
          <w:bCs/>
          <w:spacing w:val="-10"/>
          <w:kern w:val="0"/>
          <w:sz w:val="44"/>
          <w:szCs w:val="44"/>
        </w:rPr>
        <w:t>部门整体支出绩效自评报告</w:t>
      </w:r>
    </w:p>
    <w:p>
      <w:pPr>
        <w:spacing w:line="600" w:lineRule="exact"/>
        <w:jc w:val="center"/>
        <w:rPr>
          <w:rFonts w:hint="eastAsia" w:ascii="宋体" w:hAnsi="宋体" w:cs="宋体"/>
          <w:b/>
          <w:bCs/>
          <w:spacing w:val="-10"/>
          <w:kern w:val="0"/>
          <w:sz w:val="44"/>
          <w:szCs w:val="44"/>
        </w:rPr>
      </w:pPr>
    </w:p>
    <w:p>
      <w:pPr>
        <w:widowControl/>
        <w:spacing w:line="64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一、部门概况</w:t>
      </w:r>
    </w:p>
    <w:p>
      <w:pPr>
        <w:widowControl/>
        <w:wordWrap/>
        <w:adjustRightInd/>
        <w:snapToGrid/>
        <w:spacing w:line="600" w:lineRule="atLeas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（一）机构、人员构成</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桃源县泥窝潭乡辖行政村9个，政府机关1个，下设5个站所，包括：政务服务中心、社会事务综合服务中心、农业综合服务中心、退役军人服务站、综合行政执法大队。</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2"/>
          <w:szCs w:val="32"/>
          <w:lang w:val="en-US" w:eastAsia="zh-CN" w:bidi="ar-SA"/>
        </w:rPr>
      </w:pPr>
      <w:r>
        <w:rPr>
          <w:rFonts w:hint="eastAsia" w:asciiTheme="minorEastAsia" w:hAnsiTheme="minorEastAsia" w:eastAsiaTheme="minorEastAsia" w:cstheme="minorEastAsia"/>
          <w:kern w:val="0"/>
          <w:sz w:val="30"/>
          <w:szCs w:val="30"/>
          <w:lang w:val="en-US" w:eastAsia="zh-CN" w:bidi="ar-SA"/>
        </w:rPr>
        <w:t>人员及编制情况：泥窝潭乡人民政府属于行政事业单位。核定行政事业编制58个，其中：行政编制21个、事业编制37个。编内在职人数48人，其中：行政编人数21人、事业编人数27人。退休人员27人。村（居）民委员会。核定村居干部编制37个，实有人数37人。</w:t>
      </w:r>
    </w:p>
    <w:p>
      <w:pPr>
        <w:widowControl/>
        <w:wordWrap/>
        <w:adjustRightInd/>
        <w:snapToGrid/>
        <w:spacing w:line="600" w:lineRule="atLeas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（二）单位主要职责</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2．制定并组织实施村镇建设规划，部署重点工程建设，地方道路建设及公共设施，水利设施的管理，负责土地、林木、水等自然资源和生态环境的保护，做好护林防火工作。</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3．负责本乡镇区域内的民政、计划生育、文化教育、卫生、体育等社会公益事业的综合性工作，维护一切经济单位和个人的正当经济权益，取缔非法经济活动，调解和处理民事纠纷，打击刑事犯罪维护社会稳定。</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4．按计划组织本级财政收入和地方税的征收，完成国家财政计划，不断培植税源，管好财政资金，增强财政实力。</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tLeast"/>
        <w:ind w:left="0" w:right="0" w:firstLine="645"/>
        <w:jc w:val="left"/>
        <w:textAlignment w:val="auto"/>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5．抓好精神文明建设，丰富群众文化生活，提倡移风易俗，反对封建迷信，破除陈规陋习，树立社会主义新风尚。</w:t>
      </w:r>
    </w:p>
    <w:p>
      <w:pPr>
        <w:widowControl/>
        <w:wordWrap/>
        <w:adjustRightInd/>
        <w:snapToGrid/>
        <w:spacing w:line="600" w:lineRule="atLeast"/>
        <w:ind w:firstLine="640" w:firstLineChars="20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（三）、部门财务情况</w:t>
      </w:r>
    </w:p>
    <w:p>
      <w:pPr>
        <w:widowControl/>
        <w:wordWrap/>
        <w:adjustRightInd/>
        <w:snapToGrid/>
        <w:spacing w:before="0" w:line="600" w:lineRule="exact"/>
        <w:ind w:right="0" w:firstLine="600" w:firstLineChars="200"/>
        <w:outlineLvl w:val="9"/>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0"/>
          <w:szCs w:val="30"/>
          <w:lang w:val="en-US" w:eastAsia="zh-CN" w:bidi="ar-SA"/>
        </w:rPr>
        <w:t>1、2022年12月31日单位资产总额（不含所属二级预算单位）706.36万元，其中：流动资产583.5万元、非流动资产122.86万元，负债总额318.75万元，净资产总额387.60万元。</w:t>
      </w:r>
    </w:p>
    <w:p>
      <w:pPr>
        <w:widowControl/>
        <w:wordWrap/>
        <w:adjustRightInd/>
        <w:snapToGrid/>
        <w:spacing w:before="0" w:line="600" w:lineRule="exact"/>
        <w:ind w:right="0" w:firstLine="640" w:firstLineChars="200"/>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2、部门整体收支情况</w:t>
      </w:r>
    </w:p>
    <w:p>
      <w:pPr>
        <w:widowControl/>
        <w:wordWrap/>
        <w:adjustRightInd/>
        <w:snapToGrid/>
        <w:spacing w:before="0" w:line="600" w:lineRule="exact"/>
        <w:ind w:right="0" w:firstLine="600" w:firstLineChars="200"/>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2022年部门年初预算收入1548.77万元，决算收入2256.88万元，其中：一般公共预算拨款1928.76万元，政府性基金预算财政拨款收入34.21万元，国有资本经营预算财政拨款收入1.17万元，纳入专户管理的非税收入拨款0万元，其他资金50万元。上年结转242.73万元。</w:t>
      </w:r>
    </w:p>
    <w:p>
      <w:pPr>
        <w:widowControl/>
        <w:wordWrap/>
        <w:adjustRightInd/>
        <w:snapToGrid/>
        <w:spacing w:before="0" w:line="600" w:lineRule="exact"/>
        <w:ind w:right="0" w:firstLine="600" w:firstLineChars="200"/>
        <w:outlineLvl w:val="9"/>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kern w:val="0"/>
          <w:sz w:val="30"/>
          <w:szCs w:val="30"/>
          <w:lang w:val="en-US" w:eastAsia="zh-CN" w:bidi="ar-SA"/>
        </w:rPr>
        <w:t>2022年部门年初预算支出1548.77万元，其中：基本支出1009.66万元，项目支出539.10万元。部门决算支出2256.88万元，其中：基本支出1559.66万元，项目支出697.22万元。</w:t>
      </w:r>
    </w:p>
    <w:p>
      <w:pPr>
        <w:widowControl/>
        <w:wordWrap/>
        <w:adjustRightInd/>
        <w:snapToGrid/>
        <w:spacing w:before="0" w:line="600" w:lineRule="exact"/>
        <w:ind w:right="0" w:firstLine="640" w:firstLineChars="200"/>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（四）部门绩效目标</w:t>
      </w:r>
    </w:p>
    <w:p>
      <w:pPr>
        <w:widowControl/>
        <w:wordWrap/>
        <w:adjustRightInd/>
        <w:snapToGrid/>
        <w:spacing w:before="0" w:line="600" w:lineRule="exact"/>
        <w:ind w:right="0" w:firstLine="600" w:firstLineChars="200"/>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 部门绩效总目标</w:t>
      </w:r>
    </w:p>
    <w:p>
      <w:pPr>
        <w:widowControl/>
        <w:wordWrap/>
        <w:adjustRightInd/>
        <w:snapToGrid/>
        <w:spacing w:before="0" w:line="600" w:lineRule="exact"/>
        <w:ind w:right="0" w:firstLine="600" w:firstLineChars="200"/>
        <w:textAlignment w:val="auto"/>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本单位进行精心细致严谨的预算，将有限的财政资金安排到关系民生项目建设，提高人民幸福感、获得感，保障社会稳定，促进辖区经济发展、保障机构正常运转等方面。部门绩效总目标围绕“强基础、转作风、树形象、保稳定、促发展、惠民生”的工作思路，大力实施“生态立镇、农业稳镇、实干兴镇、项目富镇”的发展战略，大力推进现代农业产业发展。</w:t>
      </w:r>
    </w:p>
    <w:p>
      <w:pPr>
        <w:widowControl/>
        <w:wordWrap/>
        <w:adjustRightInd/>
        <w:snapToGrid/>
        <w:spacing w:before="0" w:line="600" w:lineRule="exact"/>
        <w:ind w:right="0" w:firstLine="600" w:firstLineChars="200"/>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 部门</w:t>
      </w:r>
      <w:r>
        <w:rPr>
          <w:rFonts w:hint="eastAsia" w:asciiTheme="minorEastAsia" w:hAnsiTheme="minorEastAsia" w:eastAsiaTheme="minorEastAsia" w:cstheme="minorEastAsia"/>
          <w:sz w:val="30"/>
          <w:szCs w:val="30"/>
          <w:lang w:eastAsia="zh-CN"/>
        </w:rPr>
        <w:t>2022</w:t>
      </w:r>
      <w:r>
        <w:rPr>
          <w:rFonts w:hint="eastAsia" w:asciiTheme="minorEastAsia" w:hAnsiTheme="minorEastAsia" w:eastAsiaTheme="minorEastAsia" w:cstheme="minorEastAsia"/>
          <w:sz w:val="30"/>
          <w:szCs w:val="30"/>
        </w:rPr>
        <w:t>年度绩效目标</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300" w:afterAutospacing="0" w:line="600" w:lineRule="exact"/>
        <w:ind w:right="0" w:firstLine="600" w:firstLineChars="200"/>
        <w:jc w:val="left"/>
        <w:textAlignment w:val="auto"/>
        <w:outlineLvl w:val="9"/>
        <w:rPr>
          <w:rFonts w:hint="eastAsia" w:ascii="微软雅黑" w:hAnsi="微软雅黑" w:eastAsia="微软雅黑" w:cs="微软雅黑"/>
          <w:i w:val="0"/>
          <w:iCs w:val="0"/>
          <w:caps w:val="0"/>
          <w:color w:val="333333"/>
          <w:spacing w:val="0"/>
          <w:sz w:val="24"/>
          <w:szCs w:val="24"/>
          <w:shd w:val="clear" w:color="080000" w:fill="FFFFFF"/>
        </w:rPr>
      </w:pPr>
      <w:r>
        <w:rPr>
          <w:rFonts w:hint="eastAsia" w:asciiTheme="minorEastAsia" w:hAnsiTheme="minorEastAsia" w:eastAsiaTheme="minorEastAsia" w:cstheme="minorEastAsia"/>
          <w:kern w:val="0"/>
          <w:sz w:val="30"/>
          <w:szCs w:val="30"/>
          <w:lang w:val="en-US" w:eastAsia="zh-CN" w:bidi="ar-SA"/>
        </w:rPr>
        <w:t>根据本单位年初工作计划，本单位2022年度预算绩效目标为：1、抓好招商引资，促进社会事业全面发展。2、抓好基础设施建设及乡村振兴工作，促进街道条件全面改善，改善辖区环境质量。3、抓好居民医疗保险、养老保险工作，使群众老有所养、老有所依。4、保障乡镇基本运行与各项工作的顺利开展，全力维护社会和谐稳定。5、抓好人居环境整治工作，美化全镇生态环境。6、合理运用公共服务保障资金，为辖区居民做好公共服务</w:t>
      </w:r>
      <w:r>
        <w:rPr>
          <w:rFonts w:hint="eastAsia" w:ascii="仿宋" w:hAnsi="仿宋" w:eastAsia="仿宋" w:cs="仿宋"/>
          <w:kern w:val="0"/>
          <w:sz w:val="30"/>
          <w:szCs w:val="30"/>
          <w:lang w:val="en-US" w:eastAsia="zh-CN" w:bidi="ar-SA"/>
        </w:rPr>
        <w:t>。</w:t>
      </w:r>
    </w:p>
    <w:p>
      <w:pPr>
        <w:pStyle w:val="8"/>
        <w:widowControl/>
        <w:wordWrap/>
        <w:adjustRightInd/>
        <w:snapToGrid/>
        <w:spacing w:before="0" w:line="600" w:lineRule="exact"/>
        <w:ind w:right="0" w:firstLine="31680"/>
        <w:outlineLvl w:val="9"/>
        <w:rPr>
          <w:rFonts w:ascii="Times New Roman" w:hAnsi="Times New Roman" w:eastAsia="黑体" w:cs="Times New Roman"/>
          <w:sz w:val="32"/>
          <w:szCs w:val="32"/>
        </w:rPr>
      </w:pPr>
      <w:r>
        <w:rPr>
          <w:rFonts w:hint="eastAsia" w:ascii="Times New Roman" w:hAnsi="Times New Roman" w:eastAsia="黑体" w:cs="黑体"/>
          <w:sz w:val="32"/>
          <w:szCs w:val="32"/>
        </w:rPr>
        <w:t>二、一般公共预算支出情况</w:t>
      </w:r>
    </w:p>
    <w:p>
      <w:pPr>
        <w:widowControl/>
        <w:wordWrap/>
        <w:adjustRightInd/>
        <w:snapToGrid/>
        <w:spacing w:before="0" w:line="600" w:lineRule="exact"/>
        <w:ind w:right="0" w:firstLine="600" w:firstLineChars="200"/>
        <w:outlineLvl w:val="9"/>
        <w:rPr>
          <w:rFonts w:hint="eastAsia" w:ascii="宋体" w:hAnsi="宋体" w:eastAsia="宋体" w:cs="宋体"/>
          <w:sz w:val="30"/>
          <w:szCs w:val="30"/>
        </w:rPr>
      </w:pPr>
      <w:r>
        <w:rPr>
          <w:rFonts w:hint="eastAsia" w:ascii="宋体" w:hAnsi="宋体" w:eastAsia="宋体" w:cs="宋体"/>
          <w:kern w:val="0"/>
          <w:sz w:val="30"/>
          <w:szCs w:val="30"/>
          <w:lang w:val="en-US" w:eastAsia="zh-CN"/>
        </w:rPr>
        <w:t>桃源县泥窝潭乡人民政府</w:t>
      </w:r>
      <w:r>
        <w:rPr>
          <w:rFonts w:hint="eastAsia" w:ascii="宋体" w:hAnsi="宋体" w:eastAsia="宋体" w:cs="宋体"/>
          <w:sz w:val="30"/>
          <w:szCs w:val="30"/>
        </w:rPr>
        <w:t>本级</w:t>
      </w:r>
      <w:r>
        <w:rPr>
          <w:rFonts w:hint="eastAsia" w:ascii="宋体" w:hAnsi="宋体" w:eastAsia="宋体" w:cs="宋体"/>
          <w:sz w:val="30"/>
          <w:szCs w:val="30"/>
          <w:lang w:eastAsia="zh-CN"/>
        </w:rPr>
        <w:t>2022</w:t>
      </w:r>
      <w:r>
        <w:rPr>
          <w:rFonts w:hint="eastAsia" w:ascii="宋体" w:hAnsi="宋体" w:eastAsia="宋体" w:cs="宋体"/>
          <w:sz w:val="30"/>
          <w:szCs w:val="30"/>
        </w:rPr>
        <w:t>年度一般公共预算财政拨款年初结转和结余</w:t>
      </w:r>
      <w:r>
        <w:rPr>
          <w:rFonts w:hint="eastAsia" w:ascii="宋体" w:hAnsi="宋体" w:eastAsia="宋体" w:cs="宋体"/>
          <w:sz w:val="30"/>
          <w:szCs w:val="30"/>
          <w:lang w:val="en-US" w:eastAsia="zh-CN"/>
        </w:rPr>
        <w:t>242.73</w:t>
      </w:r>
      <w:r>
        <w:rPr>
          <w:rFonts w:hint="eastAsia" w:ascii="宋体" w:hAnsi="宋体" w:eastAsia="宋体" w:cs="宋体"/>
          <w:sz w:val="30"/>
          <w:szCs w:val="30"/>
        </w:rPr>
        <w:t>万元，本年收入</w:t>
      </w:r>
      <w:r>
        <w:rPr>
          <w:rFonts w:hint="eastAsia" w:ascii="宋体" w:hAnsi="宋体" w:eastAsia="宋体" w:cs="宋体"/>
          <w:sz w:val="30"/>
          <w:szCs w:val="30"/>
          <w:lang w:val="en-US" w:eastAsia="zh-CN"/>
        </w:rPr>
        <w:t>2132.91</w:t>
      </w:r>
      <w:r>
        <w:rPr>
          <w:rFonts w:hint="eastAsia" w:ascii="宋体" w:hAnsi="宋体" w:eastAsia="宋体" w:cs="宋体"/>
          <w:sz w:val="30"/>
          <w:szCs w:val="30"/>
        </w:rPr>
        <w:t>万元，本年支出</w:t>
      </w:r>
      <w:r>
        <w:rPr>
          <w:rFonts w:hint="eastAsia" w:ascii="宋体" w:hAnsi="宋体" w:eastAsia="宋体" w:cs="宋体"/>
          <w:sz w:val="30"/>
          <w:szCs w:val="30"/>
          <w:lang w:val="en-US" w:eastAsia="zh-CN"/>
        </w:rPr>
        <w:t>2206.88</w:t>
      </w:r>
      <w:r>
        <w:rPr>
          <w:rFonts w:hint="eastAsia" w:ascii="宋体" w:hAnsi="宋体" w:eastAsia="宋体" w:cs="宋体"/>
          <w:sz w:val="30"/>
          <w:szCs w:val="30"/>
        </w:rPr>
        <w:t>万元，年末结转和结余</w:t>
      </w:r>
      <w:r>
        <w:rPr>
          <w:rFonts w:hint="eastAsia" w:ascii="宋体" w:hAnsi="宋体" w:eastAsia="宋体" w:cs="宋体"/>
          <w:sz w:val="30"/>
          <w:szCs w:val="30"/>
          <w:lang w:val="en-US" w:eastAsia="zh-CN"/>
        </w:rPr>
        <w:t>0</w:t>
      </w:r>
      <w:r>
        <w:rPr>
          <w:rFonts w:hint="eastAsia" w:ascii="宋体" w:hAnsi="宋体" w:eastAsia="宋体" w:cs="宋体"/>
          <w:sz w:val="30"/>
          <w:szCs w:val="30"/>
        </w:rPr>
        <w:t>万元。</w:t>
      </w:r>
    </w:p>
    <w:p>
      <w:pPr>
        <w:pStyle w:val="8"/>
        <w:widowControl/>
        <w:wordWrap/>
        <w:adjustRightInd/>
        <w:snapToGrid/>
        <w:spacing w:before="0" w:line="600" w:lineRule="exact"/>
        <w:ind w:right="0" w:firstLine="31680"/>
        <w:jc w:val="left"/>
        <w:outlineLvl w:val="9"/>
        <w:rPr>
          <w:rFonts w:ascii="Times New Roman" w:hAnsi="Times New Roman" w:eastAsia="黑体" w:cs="Times New Roman"/>
          <w:sz w:val="32"/>
          <w:szCs w:val="32"/>
        </w:rPr>
      </w:pPr>
      <w:r>
        <w:rPr>
          <w:rFonts w:hint="eastAsia" w:ascii="Times New Roman" w:hAnsi="Times New Roman" w:eastAsia="黑体" w:cs="黑体"/>
          <w:sz w:val="32"/>
          <w:szCs w:val="32"/>
        </w:rPr>
        <w:t>三、政府性基金预算支出情况</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right="0"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kern w:val="0"/>
          <w:sz w:val="30"/>
          <w:szCs w:val="30"/>
          <w:lang w:val="en-US" w:eastAsia="zh-CN" w:bidi="ar-SA"/>
        </w:rPr>
        <w:t>2022年政府性基金预算收入38.8万元,年初结转和结余0万元；支出34.21万元，其中基本支出34.21万元，项目支出0万元；年末结转和结余0万元。</w:t>
      </w:r>
    </w:p>
    <w:p>
      <w:pPr>
        <w:pStyle w:val="8"/>
        <w:widowControl/>
        <w:numPr>
          <w:ilvl w:val="0"/>
          <w:numId w:val="1"/>
        </w:numPr>
        <w:wordWrap/>
        <w:adjustRightInd/>
        <w:snapToGrid/>
        <w:spacing w:before="0" w:line="600" w:lineRule="exact"/>
        <w:ind w:right="0" w:firstLine="31680"/>
        <w:jc w:val="left"/>
        <w:outlineLvl w:val="9"/>
        <w:rPr>
          <w:rFonts w:ascii="Times New Roman" w:hAnsi="Times New Roman" w:eastAsia="黑体" w:cs="Times New Roman"/>
          <w:sz w:val="32"/>
          <w:szCs w:val="32"/>
        </w:rPr>
      </w:pPr>
      <w:r>
        <w:rPr>
          <w:rFonts w:hint="eastAsia" w:ascii="Times New Roman" w:hAnsi="Times New Roman" w:eastAsia="黑体" w:cs="黑体"/>
          <w:sz w:val="32"/>
          <w:szCs w:val="32"/>
        </w:rPr>
        <w:t>国有资本经营预算支出情况</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00" w:firstLineChars="200"/>
        <w:jc w:val="left"/>
        <w:textAlignment w:val="auto"/>
        <w:outlineLvl w:val="9"/>
        <w:rPr>
          <w:rFonts w:ascii="Times New Roman" w:hAnsi="Times New Roman" w:cs="Times New Roman"/>
          <w:sz w:val="30"/>
          <w:szCs w:val="30"/>
        </w:rPr>
      </w:pPr>
      <w:r>
        <w:rPr>
          <w:rFonts w:hint="eastAsia" w:ascii="宋体" w:hAnsi="宋体" w:eastAsia="宋体" w:cs="宋体"/>
          <w:kern w:val="0"/>
          <w:sz w:val="30"/>
          <w:szCs w:val="30"/>
          <w:lang w:val="en-US" w:eastAsia="zh-CN" w:bidi="ar-SA"/>
        </w:rPr>
        <w:t>2022年国有资本经营预算收入1.17万元,年初结转和结余0万元；支出1.17万元，其中基本支出0万元，项目支出1.17万元；年末结转和结余0万元。</w:t>
      </w:r>
    </w:p>
    <w:p>
      <w:pPr>
        <w:pStyle w:val="8"/>
        <w:widowControl/>
        <w:numPr>
          <w:ilvl w:val="0"/>
          <w:numId w:val="1"/>
        </w:numPr>
        <w:wordWrap/>
        <w:adjustRightInd/>
        <w:snapToGrid/>
        <w:spacing w:before="0" w:line="600" w:lineRule="exact"/>
        <w:ind w:right="0" w:firstLine="31680"/>
        <w:jc w:val="left"/>
        <w:outlineLvl w:val="9"/>
        <w:rPr>
          <w:rFonts w:ascii="Times New Roman" w:hAnsi="Times New Roman" w:eastAsia="黑体" w:cs="Times New Roman"/>
          <w:sz w:val="32"/>
          <w:szCs w:val="32"/>
        </w:rPr>
      </w:pPr>
      <w:r>
        <w:rPr>
          <w:rFonts w:hint="eastAsia" w:ascii="Times New Roman" w:hAnsi="Times New Roman" w:eastAsia="黑体" w:cs="黑体"/>
          <w:sz w:val="32"/>
          <w:szCs w:val="32"/>
        </w:rPr>
        <w:t>社会保险基金预算支出情况</w:t>
      </w:r>
    </w:p>
    <w:p>
      <w:pPr>
        <w:pStyle w:val="8"/>
        <w:widowControl/>
        <w:wordWrap/>
        <w:adjustRightInd/>
        <w:snapToGrid/>
        <w:spacing w:before="0" w:line="600" w:lineRule="exact"/>
        <w:ind w:left="420" w:leftChars="200" w:right="0" w:firstLine="0" w:firstLineChars="0"/>
        <w:jc w:val="left"/>
        <w:outlineLvl w:val="9"/>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pPr>
        <w:widowControl/>
        <w:wordWrap/>
        <w:adjustRightInd/>
        <w:snapToGrid/>
        <w:spacing w:before="0" w:line="600" w:lineRule="exact"/>
        <w:ind w:right="0" w:firstLine="640" w:firstLineChars="200"/>
        <w:textAlignment w:val="auto"/>
        <w:outlineLvl w:val="9"/>
        <w:rPr>
          <w:rFonts w:ascii="黑体" w:hAnsi="黑体" w:eastAsia="黑体" w:cs="Times New Roman"/>
          <w:kern w:val="0"/>
          <w:sz w:val="32"/>
          <w:szCs w:val="32"/>
        </w:rPr>
      </w:pPr>
      <w:r>
        <w:rPr>
          <w:rFonts w:hint="eastAsia" w:ascii="黑体" w:hAnsi="黑体" w:eastAsia="黑体" w:cs="黑体"/>
          <w:kern w:val="0"/>
          <w:sz w:val="32"/>
          <w:szCs w:val="32"/>
        </w:rPr>
        <w:t>六、部门整体支出绩效情况</w:t>
      </w:r>
    </w:p>
    <w:p>
      <w:pPr>
        <w:widowControl/>
        <w:wordWrap/>
        <w:adjustRightInd/>
        <w:snapToGrid/>
        <w:spacing w:before="0" w:line="600" w:lineRule="exact"/>
        <w:ind w:right="0" w:firstLine="600" w:firstLineChars="200"/>
        <w:textAlignment w:val="auto"/>
        <w:outlineLvl w:val="9"/>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0"/>
          <w:szCs w:val="30"/>
          <w:lang w:val="en-US" w:eastAsia="zh-CN" w:bidi="ar-SA"/>
        </w:rPr>
        <w:t>2022年，我乡积极履职，强化管理，较好的完成了年度工作目标。通过加强预算收支管理，不断建立健全内部管理制度，梳理内部管理流程，整体支出管理水平得到提升，各项绩效指标均达到了预期效果。</w:t>
      </w:r>
    </w:p>
    <w:p>
      <w:pPr>
        <w:widowControl/>
        <w:wordWrap/>
        <w:adjustRightInd/>
        <w:snapToGrid/>
        <w:spacing w:before="0" w:line="600" w:lineRule="exact"/>
        <w:ind w:right="0" w:firstLine="640" w:firstLineChars="200"/>
        <w:jc w:val="left"/>
        <w:outlineLvl w:val="9"/>
        <w:rPr>
          <w:rFonts w:eastAsia="黑体"/>
          <w:sz w:val="32"/>
          <w:szCs w:val="32"/>
        </w:rPr>
      </w:pPr>
      <w:r>
        <w:rPr>
          <w:rFonts w:hint="eastAsia" w:eastAsia="黑体" w:cs="黑体"/>
          <w:sz w:val="32"/>
          <w:szCs w:val="32"/>
        </w:rPr>
        <w:t>七、存在的问题</w:t>
      </w:r>
      <w:bookmarkStart w:id="0" w:name="_GoBack"/>
      <w:bookmarkEnd w:id="0"/>
      <w:r>
        <w:rPr>
          <w:rFonts w:hint="eastAsia" w:eastAsia="黑体" w:cs="黑体"/>
          <w:sz w:val="32"/>
          <w:szCs w:val="32"/>
        </w:rPr>
        <w:t>及原因分析</w:t>
      </w:r>
    </w:p>
    <w:p>
      <w:pPr>
        <w:widowControl/>
        <w:wordWrap/>
        <w:adjustRightInd/>
        <w:snapToGrid/>
        <w:spacing w:before="0" w:line="600" w:lineRule="exact"/>
        <w:ind w:right="0" w:firstLine="600" w:firstLineChars="200"/>
        <w:outlineLvl w:val="9"/>
        <w:rPr>
          <w:rFonts w:hint="eastAsia" w:ascii="宋体" w:hAnsi="宋体" w:eastAsia="宋体" w:cs="宋体"/>
          <w:sz w:val="30"/>
          <w:szCs w:val="30"/>
        </w:rPr>
      </w:pPr>
      <w:r>
        <w:rPr>
          <w:rFonts w:hint="eastAsia" w:ascii="宋体" w:hAnsi="宋体" w:eastAsia="宋体" w:cs="宋体"/>
          <w:sz w:val="30"/>
          <w:szCs w:val="30"/>
        </w:rPr>
        <w:t>（一）存在的问题</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480"/>
        <w:jc w:val="both"/>
        <w:textAlignment w:val="auto"/>
        <w:outlineLvl w:val="9"/>
        <w:rPr>
          <w:rFonts w:hint="eastAsia" w:ascii="宋体" w:hAnsi="宋体" w:eastAsia="宋体" w:cs="宋体"/>
          <w:kern w:val="0"/>
          <w:sz w:val="30"/>
          <w:szCs w:val="30"/>
          <w:lang w:val="en-US" w:eastAsia="zh-CN" w:bidi="ar-SA"/>
        </w:rPr>
      </w:pPr>
      <w:r>
        <w:rPr>
          <w:rFonts w:hint="eastAsia" w:ascii="宋体" w:hAnsi="宋体" w:eastAsia="宋体" w:cs="宋体"/>
          <w:kern w:val="0"/>
          <w:sz w:val="30"/>
          <w:szCs w:val="30"/>
          <w:lang w:val="en-US" w:eastAsia="zh-CN" w:bidi="ar-SA"/>
        </w:rPr>
        <w:t>1.预算编制不够明确和细化，预算编制的合理性需要提高，预算执行力度还要进一步加强。</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48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0"/>
          <w:szCs w:val="30"/>
          <w:lang w:val="en-US" w:eastAsia="zh-CN" w:bidi="ar-SA"/>
        </w:rPr>
        <w:t>2.年末存量资金大，预算调整率高，部分资金未能按照预算及时使用。</w:t>
      </w:r>
    </w:p>
    <w:p>
      <w:pPr>
        <w:widowControl/>
        <w:wordWrap/>
        <w:adjustRightInd/>
        <w:snapToGrid/>
        <w:spacing w:before="0" w:line="600" w:lineRule="exact"/>
        <w:ind w:right="0" w:firstLine="640" w:firstLineChars="200"/>
        <w:jc w:val="left"/>
        <w:outlineLvl w:val="9"/>
        <w:rPr>
          <w:rFonts w:eastAsia="黑体"/>
          <w:sz w:val="32"/>
          <w:szCs w:val="32"/>
        </w:rPr>
      </w:pPr>
      <w:r>
        <w:rPr>
          <w:rFonts w:hint="eastAsia" w:eastAsia="黑体" w:cs="黑体"/>
          <w:sz w:val="32"/>
          <w:szCs w:val="32"/>
        </w:rPr>
        <w:t>八、下一步改进措施</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480"/>
        <w:jc w:val="both"/>
        <w:textAlignment w:val="auto"/>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1.在制定年初各项任务目标时，根据实际情况，全方位考虑，灵活地制定相关工作计划，确保在年底能够按时按质完成各项任务。</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480"/>
        <w:jc w:val="both"/>
        <w:textAlignment w:val="auto"/>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2.科学合理测算本单位年度收入、支出，提高预算科学性，在编制预算时结合上年决算及年度内单位可预见的工作任务据实编制，避免年初预算与实际执行出现大的偏差，提高预算控制水平。</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480"/>
        <w:jc w:val="both"/>
        <w:textAlignment w:val="auto"/>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2.定期做好预算执行分析，及时了解预算执行差异，合理调整、纠正预算执行偏差，加快预算的执行进度，减少存量资金，切实提高预算完成率及资金使用效益。</w:t>
      </w:r>
    </w:p>
    <w:p>
      <w:pPr>
        <w:widowControl/>
        <w:wordWrap/>
        <w:adjustRightInd/>
        <w:snapToGrid/>
        <w:spacing w:before="0" w:line="600" w:lineRule="exact"/>
        <w:ind w:right="0" w:firstLine="645"/>
        <w:jc w:val="left"/>
        <w:outlineLvl w:val="9"/>
        <w:rPr>
          <w:rFonts w:eastAsia="黑体"/>
          <w:sz w:val="32"/>
          <w:szCs w:val="32"/>
        </w:rPr>
      </w:pPr>
      <w:r>
        <w:rPr>
          <w:rFonts w:hint="eastAsia" w:eastAsia="黑体" w:cs="黑体"/>
          <w:sz w:val="32"/>
          <w:szCs w:val="32"/>
        </w:rPr>
        <w:t>九、部门整体支出绩效自评结果拟应用和公开情况</w:t>
      </w:r>
    </w:p>
    <w:p>
      <w:pPr>
        <w:wordWrap/>
        <w:adjustRightInd/>
        <w:snapToGrid/>
        <w:spacing w:before="0" w:line="600" w:lineRule="exact"/>
        <w:ind w:right="0" w:firstLine="600" w:firstLineChars="200"/>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根据市财政相关部门统一部署，我单位2022年部门整体支出绩效自评情况将在单位门户网站公开，接受社会监督。对绩效自评工作中发现的问题及时整改，解决好绩效评价管理中存在的问题，提高工作效能。根据部门整体支出绩效评价指标评分标准，2022年我单位部门整体绩效评价自评分为97分。</w:t>
      </w:r>
    </w:p>
    <w:p>
      <w:pPr>
        <w:widowControl/>
        <w:wordWrap/>
        <w:adjustRightInd/>
        <w:snapToGrid/>
        <w:spacing w:before="0" w:line="600" w:lineRule="exact"/>
        <w:ind w:right="0" w:firstLine="645"/>
        <w:jc w:val="left"/>
        <w:outlineLvl w:val="9"/>
        <w:rPr>
          <w:rFonts w:eastAsia="黑体"/>
          <w:sz w:val="32"/>
          <w:szCs w:val="32"/>
        </w:rPr>
      </w:pPr>
      <w:r>
        <w:rPr>
          <w:rFonts w:hint="eastAsia" w:eastAsia="黑体" w:cs="黑体"/>
          <w:sz w:val="32"/>
          <w:szCs w:val="32"/>
        </w:rPr>
        <w:t>十、其他需要说明的情况</w:t>
      </w:r>
    </w:p>
    <w:p>
      <w:pPr>
        <w:pStyle w:val="2"/>
        <w:wordWrap/>
        <w:adjustRightInd/>
        <w:snapToGrid/>
        <w:spacing w:before="0" w:line="600" w:lineRule="exact"/>
        <w:ind w:right="0"/>
        <w:outlineLvl w:val="9"/>
        <w:rPr>
          <w:rFonts w:hint="eastAsia" w:asciiTheme="minorEastAsia" w:hAnsiTheme="minorEastAsia" w:eastAsiaTheme="minorEastAsia" w:cstheme="minorEastAsia"/>
          <w:kern w:val="0"/>
          <w:sz w:val="30"/>
          <w:szCs w:val="30"/>
          <w:lang w:val="en-US" w:eastAsia="zh-CN" w:bidi="ar-SA"/>
        </w:rPr>
      </w:pPr>
      <w:r>
        <w:rPr>
          <w:rFonts w:hint="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kern w:val="0"/>
          <w:sz w:val="30"/>
          <w:szCs w:val="30"/>
          <w:lang w:val="en-US" w:eastAsia="zh-CN" w:bidi="ar-SA"/>
        </w:rPr>
        <w:t>无</w:t>
      </w:r>
    </w:p>
    <w:p>
      <w:pPr>
        <w:pStyle w:val="2"/>
        <w:wordWrap/>
        <w:adjustRightInd/>
        <w:snapToGrid/>
        <w:spacing w:before="0" w:line="600" w:lineRule="exact"/>
        <w:ind w:right="0"/>
        <w:outlineLvl w:val="9"/>
        <w:rPr>
          <w:rFonts w:hint="eastAsia" w:asciiTheme="minorEastAsia" w:hAnsiTheme="minorEastAsia" w:eastAsiaTheme="minorEastAsia" w:cstheme="minorEastAsia"/>
          <w:sz w:val="30"/>
          <w:szCs w:val="30"/>
        </w:rPr>
      </w:pPr>
    </w:p>
    <w:p>
      <w:pPr>
        <w:widowControl/>
        <w:wordWrap/>
        <w:adjustRightInd/>
        <w:snapToGrid/>
        <w:spacing w:before="0" w:line="600" w:lineRule="exact"/>
        <w:ind w:right="0" w:firstLine="645"/>
        <w:jc w:val="left"/>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附件：</w:t>
      </w:r>
    </w:p>
    <w:p>
      <w:pPr>
        <w:widowControl/>
        <w:wordWrap/>
        <w:adjustRightInd/>
        <w:snapToGrid/>
        <w:spacing w:before="0" w:line="600" w:lineRule="exact"/>
        <w:ind w:right="0" w:firstLine="645"/>
        <w:jc w:val="left"/>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1.部门整体支出绩效评价基础数据表</w:t>
      </w:r>
    </w:p>
    <w:p>
      <w:pPr>
        <w:widowControl/>
        <w:wordWrap/>
        <w:adjustRightInd/>
        <w:snapToGrid/>
        <w:spacing w:before="0" w:line="600" w:lineRule="exact"/>
        <w:ind w:right="0" w:firstLine="645"/>
        <w:jc w:val="left"/>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2.部门整体支出绩效自评表</w:t>
      </w:r>
    </w:p>
    <w:p>
      <w:pPr>
        <w:widowControl/>
        <w:wordWrap/>
        <w:adjustRightInd/>
        <w:snapToGrid/>
        <w:spacing w:before="0" w:line="600" w:lineRule="exact"/>
        <w:ind w:right="0" w:firstLine="645"/>
        <w:jc w:val="left"/>
        <w:outlineLvl w:val="9"/>
        <w:rPr>
          <w:rFonts w:hint="eastAsia" w:asciiTheme="minorEastAsia" w:hAnsiTheme="minorEastAsia" w:eastAsiaTheme="minorEastAsia" w:cstheme="minorEastAsia"/>
          <w:kern w:val="0"/>
          <w:sz w:val="30"/>
          <w:szCs w:val="30"/>
          <w:lang w:val="en-US" w:eastAsia="zh-CN" w:bidi="ar-SA"/>
        </w:rPr>
      </w:pPr>
      <w:r>
        <w:rPr>
          <w:rFonts w:hint="eastAsia" w:asciiTheme="minorEastAsia" w:hAnsiTheme="minorEastAsia" w:eastAsiaTheme="minorEastAsia" w:cstheme="minorEastAsia"/>
          <w:kern w:val="0"/>
          <w:sz w:val="30"/>
          <w:szCs w:val="30"/>
          <w:lang w:val="en-US" w:eastAsia="zh-CN" w:bidi="ar-SA"/>
        </w:rPr>
        <w:t>3.项目支出绩效自评表</w:t>
      </w:r>
    </w:p>
    <w:p>
      <w:pPr>
        <w:wordWrap/>
        <w:adjustRightInd/>
        <w:snapToGrid/>
        <w:spacing w:before="0" w:line="600" w:lineRule="exact"/>
        <w:ind w:right="0"/>
        <w:outlineLvl w:val="9"/>
      </w:pPr>
    </w:p>
    <w:p>
      <w:pPr>
        <w:wordWrap/>
        <w:adjustRightInd/>
        <w:snapToGrid/>
        <w:spacing w:before="0" w:line="600" w:lineRule="exact"/>
        <w:ind w:right="0"/>
        <w:outlineLvl w:val="9"/>
        <w:rPr>
          <w:rFonts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E36D8"/>
    <w:multiLevelType w:val="singleLevel"/>
    <w:tmpl w:val="E77E36D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0713C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99"/>
    <w:pPr>
      <w:spacing w:after="120"/>
      <w:textAlignment w:val="baseline"/>
    </w:pPr>
    <w:rPr>
      <w:rFonts w:eastAsia="宋体"/>
      <w:sz w:val="32"/>
      <w:szCs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0"/>
    <w:pPr>
      <w:spacing w:before="0" w:beforeAutospacing="1" w:after="0" w:afterAutospacing="1"/>
      <w:ind w:left="0" w:right="0"/>
      <w:jc w:val="left"/>
    </w:pPr>
    <w:rPr>
      <w:kern w:val="0"/>
      <w:sz w:val="24"/>
      <w:lang w:val="en-US" w:eastAsia="zh-CN"/>
    </w:rPr>
  </w:style>
  <w:style w:type="character" w:styleId="7">
    <w:name w:val="page number"/>
    <w:basedOn w:val="6"/>
    <w:qFormat/>
    <w:uiPriority w:val="99"/>
  </w:style>
  <w:style w:type="paragraph" w:customStyle="1" w:styleId="8">
    <w:name w:val="List Paragraph"/>
    <w:basedOn w:val="1"/>
    <w:qFormat/>
    <w:uiPriority w:val="99"/>
    <w:pPr>
      <w:ind w:firstLine="420" w:firstLineChars="200"/>
    </w:pPr>
    <w:rPr>
      <w:rFonts w:ascii="Calibri" w:hAnsi="Calibri" w:cs="Calibri"/>
    </w:rPr>
  </w:style>
  <w:style w:type="character" w:customStyle="1" w:styleId="9">
    <w:name w:val="Footer Char"/>
    <w:basedOn w:val="6"/>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天晟网络</Company>
  <Pages>7</Pages>
  <Words>2737</Words>
  <Characters>2896</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2022-09-18T23:54:00Z</dcterms:created>
  <dc:creator>Administrator</dc:creator>
  <cp:lastModifiedBy>Administrator</cp:lastModifiedBy>
  <dcterms:modified xsi:type="dcterms:W3CDTF">2023-12-13T04:54:35Z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196174E4433C4B959BF07304D6A9950E</vt:lpwstr>
  </property>
</Properties>
</file>