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p>
    <w:p>
      <w:pPr>
        <w:jc w:val="center"/>
        <w:rPr>
          <w:rFonts w:eastAsia="黑体"/>
          <w:sz w:val="32"/>
          <w:szCs w:val="32"/>
        </w:rPr>
      </w:pPr>
    </w:p>
    <w:p>
      <w:pPr>
        <w:spacing w:line="600" w:lineRule="exact"/>
        <w:rPr>
          <w:rFonts w:eastAsia="黑体"/>
          <w:sz w:val="32"/>
          <w:szCs w:val="32"/>
        </w:rPr>
      </w:pPr>
    </w:p>
    <w:p>
      <w:pPr>
        <w:jc w:val="center"/>
        <w:rPr>
          <w:rFonts w:hint="eastAsia" w:eastAsia="方正小标宋_GBK"/>
          <w:sz w:val="52"/>
          <w:szCs w:val="52"/>
          <w:lang w:val="en-US" w:eastAsia="zh-CN"/>
        </w:rPr>
      </w:pPr>
      <w:r>
        <w:rPr>
          <w:rFonts w:hint="eastAsia" w:eastAsia="方正小标宋_GBK"/>
          <w:sz w:val="52"/>
          <w:szCs w:val="52"/>
          <w:lang w:eastAsia="zh-CN"/>
        </w:rPr>
        <w:t>2022</w:t>
      </w:r>
      <w:r>
        <w:rPr>
          <w:rFonts w:hint="eastAsia" w:eastAsia="方正小标宋_GBK"/>
          <w:sz w:val="52"/>
          <w:szCs w:val="52"/>
        </w:rPr>
        <w:t>年度</w:t>
      </w:r>
      <w:r>
        <w:rPr>
          <w:rFonts w:hint="eastAsia" w:eastAsia="方正小标宋_GBK"/>
          <w:sz w:val="52"/>
          <w:szCs w:val="52"/>
          <w:lang w:val="en-US" w:eastAsia="zh-CN"/>
        </w:rPr>
        <w:t>桃源县西安镇人民政府</w:t>
      </w:r>
    </w:p>
    <w:p>
      <w:pPr>
        <w:jc w:val="center"/>
        <w:rPr>
          <w:rFonts w:hint="eastAsia" w:eastAsia="方正小标宋_GBK"/>
          <w:sz w:val="52"/>
          <w:szCs w:val="52"/>
        </w:rPr>
      </w:pPr>
      <w:r>
        <w:rPr>
          <w:rFonts w:hint="eastAsia" w:eastAsia="方正小标宋_GBK"/>
          <w:sz w:val="52"/>
          <w:szCs w:val="52"/>
        </w:rPr>
        <w:t>整体支出绩效自评报告</w:t>
      </w:r>
    </w:p>
    <w:p>
      <w:pPr>
        <w:jc w:val="center"/>
        <w:rPr>
          <w:rFonts w:eastAsia="方正小标宋_GBK"/>
          <w:sz w:val="52"/>
          <w:szCs w:val="5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hint="eastAsia" w:eastAsia="仿宋" w:cs="仿宋"/>
          <w:sz w:val="32"/>
          <w:szCs w:val="32"/>
        </w:rPr>
      </w:pPr>
    </w:p>
    <w:p>
      <w:pPr>
        <w:spacing w:line="600" w:lineRule="exact"/>
        <w:ind w:firstLine="1920" w:firstLineChars="600"/>
        <w:rPr>
          <w:rFonts w:eastAsia="仿宋"/>
          <w:sz w:val="32"/>
          <w:szCs w:val="32"/>
          <w:u w:val="single"/>
        </w:rPr>
      </w:pPr>
      <w:r>
        <w:rPr>
          <w:rFonts w:hint="eastAsia" w:eastAsia="仿宋" w:cs="仿宋"/>
          <w:sz w:val="32"/>
          <w:szCs w:val="32"/>
        </w:rPr>
        <w:t>单位名称：</w:t>
      </w:r>
      <w:r>
        <w:rPr>
          <w:rFonts w:hint="eastAsia" w:eastAsia="仿宋"/>
          <w:sz w:val="32"/>
          <w:szCs w:val="32"/>
          <w:lang w:eastAsia="zh-CN"/>
        </w:rPr>
        <w:t>桃源县西安镇人民政府</w:t>
      </w:r>
    </w:p>
    <w:p>
      <w:pPr>
        <w:spacing w:line="600" w:lineRule="exact"/>
        <w:ind w:firstLine="3200" w:firstLineChars="1000"/>
        <w:rPr>
          <w:rFonts w:eastAsia="仿宋"/>
          <w:sz w:val="32"/>
          <w:szCs w:val="32"/>
        </w:rPr>
      </w:pPr>
      <w:r>
        <w:rPr>
          <w:rFonts w:eastAsia="仿宋"/>
          <w:sz w:val="32"/>
          <w:szCs w:val="32"/>
        </w:rPr>
        <w:t>202</w:t>
      </w:r>
      <w:r>
        <w:rPr>
          <w:rFonts w:hint="eastAsia" w:eastAsia="仿宋"/>
          <w:sz w:val="32"/>
          <w:szCs w:val="32"/>
          <w:lang w:val="en-US" w:eastAsia="zh-CN"/>
        </w:rPr>
        <w:t>3</w:t>
      </w:r>
      <w:r>
        <w:rPr>
          <w:rFonts w:hint="eastAsia" w:eastAsia="仿宋" w:cs="仿宋"/>
          <w:sz w:val="32"/>
          <w:szCs w:val="32"/>
        </w:rPr>
        <w:t>年</w:t>
      </w:r>
      <w:r>
        <w:rPr>
          <w:rFonts w:hint="eastAsia" w:eastAsia="仿宋"/>
          <w:sz w:val="32"/>
          <w:szCs w:val="32"/>
          <w:lang w:val="en-US" w:eastAsia="zh-CN"/>
        </w:rPr>
        <w:t>9</w:t>
      </w:r>
      <w:r>
        <w:rPr>
          <w:rFonts w:hint="eastAsia" w:eastAsia="仿宋" w:cs="仿宋"/>
          <w:sz w:val="32"/>
          <w:szCs w:val="32"/>
        </w:rPr>
        <w:t>月</w:t>
      </w:r>
      <w:r>
        <w:rPr>
          <w:rFonts w:eastAsia="仿宋"/>
          <w:sz w:val="32"/>
          <w:szCs w:val="32"/>
        </w:rPr>
        <w:t>28</w:t>
      </w:r>
      <w:r>
        <w:rPr>
          <w:rFonts w:hint="eastAsia" w:eastAsia="仿宋" w:cs="仿宋"/>
          <w:sz w:val="32"/>
          <w:szCs w:val="32"/>
        </w:rPr>
        <w:t>日</w:t>
      </w:r>
    </w:p>
    <w:p>
      <w:pPr>
        <w:spacing w:line="560" w:lineRule="exact"/>
        <w:rPr>
          <w:rFonts w:eastAsia="方正小标宋_GBK"/>
          <w:sz w:val="44"/>
          <w:szCs w:val="44"/>
        </w:rPr>
      </w:pPr>
    </w:p>
    <w:p>
      <w:pPr>
        <w:spacing w:line="560" w:lineRule="exact"/>
        <w:rPr>
          <w:rFonts w:eastAsia="方正小标宋_GBK"/>
          <w:sz w:val="44"/>
          <w:szCs w:val="44"/>
        </w:rPr>
      </w:pPr>
    </w:p>
    <w:p>
      <w:pPr>
        <w:spacing w:line="560" w:lineRule="exact"/>
        <w:rPr>
          <w:rFonts w:eastAsia="方正小标宋_GBK"/>
          <w:sz w:val="44"/>
          <w:szCs w:val="44"/>
        </w:rPr>
      </w:pPr>
    </w:p>
    <w:p>
      <w:pPr>
        <w:spacing w:line="560" w:lineRule="exact"/>
        <w:jc w:val="center"/>
        <w:rPr>
          <w:rFonts w:eastAsia="方正小标宋_GBK"/>
          <w:sz w:val="44"/>
          <w:szCs w:val="44"/>
        </w:rPr>
      </w:pPr>
    </w:p>
    <w:p>
      <w:pPr>
        <w:spacing w:line="560" w:lineRule="exact"/>
        <w:jc w:val="both"/>
        <w:rPr>
          <w:rFonts w:eastAsia="方正小标宋_GBK"/>
          <w:sz w:val="44"/>
          <w:szCs w:val="44"/>
        </w:rPr>
      </w:pPr>
    </w:p>
    <w:p>
      <w:pPr>
        <w:spacing w:line="560" w:lineRule="exact"/>
        <w:jc w:val="center"/>
        <w:rPr>
          <w:rFonts w:hint="eastAsia" w:eastAsia="方正小标宋_GBK"/>
          <w:sz w:val="44"/>
          <w:szCs w:val="44"/>
          <w:lang w:val="en-US" w:eastAsia="zh-CN"/>
        </w:rPr>
      </w:pPr>
      <w:r>
        <w:rPr>
          <w:rFonts w:hint="eastAsia" w:eastAsia="方正小标宋_GBK"/>
          <w:sz w:val="44"/>
          <w:szCs w:val="44"/>
          <w:lang w:eastAsia="zh-CN"/>
        </w:rPr>
        <w:t>2022</w:t>
      </w:r>
      <w:r>
        <w:rPr>
          <w:rFonts w:hint="eastAsia" w:eastAsia="方正小标宋_GBK"/>
          <w:sz w:val="44"/>
          <w:szCs w:val="44"/>
        </w:rPr>
        <w:t>年度</w:t>
      </w:r>
      <w:r>
        <w:rPr>
          <w:rFonts w:hint="eastAsia" w:eastAsia="方正小标宋_GBK"/>
          <w:sz w:val="44"/>
          <w:szCs w:val="44"/>
          <w:lang w:val="en-US" w:eastAsia="zh-CN"/>
        </w:rPr>
        <w:t>桃源县西安镇人民政府</w:t>
      </w:r>
    </w:p>
    <w:p>
      <w:pPr>
        <w:spacing w:line="560" w:lineRule="exact"/>
        <w:jc w:val="center"/>
        <w:rPr>
          <w:rFonts w:hint="eastAsia" w:eastAsia="方正小标宋_GBK"/>
          <w:sz w:val="44"/>
          <w:szCs w:val="44"/>
        </w:rPr>
      </w:pPr>
      <w:r>
        <w:rPr>
          <w:rFonts w:hint="eastAsia" w:eastAsia="方正小标宋_GBK"/>
          <w:sz w:val="44"/>
          <w:szCs w:val="44"/>
        </w:rPr>
        <w:t>整体支出绩效自评报告</w:t>
      </w:r>
    </w:p>
    <w:p>
      <w:pPr>
        <w:spacing w:line="560" w:lineRule="exact"/>
        <w:rPr>
          <w:rFonts w:eastAsia="黑体"/>
          <w:sz w:val="32"/>
          <w:szCs w:val="32"/>
        </w:rPr>
      </w:pPr>
    </w:p>
    <w:p>
      <w:pPr>
        <w:spacing w:line="500" w:lineRule="exact"/>
        <w:ind w:firstLine="640" w:firstLineChars="200"/>
        <w:rPr>
          <w:rFonts w:hint="eastAsia" w:eastAsia="黑体" w:cs="黑体"/>
          <w:sz w:val="32"/>
          <w:szCs w:val="32"/>
        </w:rPr>
      </w:pPr>
      <w:r>
        <w:rPr>
          <w:rFonts w:hint="eastAsia" w:eastAsia="黑体" w:cs="黑体"/>
          <w:sz w:val="32"/>
          <w:szCs w:val="32"/>
        </w:rPr>
        <w:t>一、部门（单位）基本情况</w:t>
      </w:r>
    </w:p>
    <w:p>
      <w:pPr>
        <w:widowControl/>
        <w:spacing w:line="500" w:lineRule="exact"/>
        <w:ind w:firstLine="640" w:firstLineChars="200"/>
        <w:rPr>
          <w:rFonts w:hint="eastAsia" w:eastAsia="楷体_GB2312" w:cs="楷体_GB2312"/>
          <w:sz w:val="32"/>
          <w:szCs w:val="32"/>
        </w:rPr>
      </w:pPr>
      <w:r>
        <w:rPr>
          <w:rFonts w:hint="eastAsia" w:eastAsia="楷体_GB2312" w:cs="楷体_GB2312"/>
          <w:sz w:val="32"/>
          <w:szCs w:val="32"/>
        </w:rPr>
        <w:t>（一）机构、人员构成</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桃源县西安镇人民政府内设机构包括：行政机构 1个（政府机关）、事业机构5个（农业综合服务中心、政务服务中心、社会事务综合服务中心、综合行政执法大队）。</w:t>
      </w:r>
    </w:p>
    <w:p>
      <w:pPr>
        <w:widowControl/>
        <w:spacing w:line="500" w:lineRule="exact"/>
        <w:ind w:firstLine="600" w:firstLineChars="200"/>
        <w:rPr>
          <w:sz w:val="30"/>
          <w:szCs w:val="30"/>
        </w:rPr>
      </w:pPr>
      <w:r>
        <w:rPr>
          <w:rFonts w:hint="eastAsia"/>
          <w:sz w:val="30"/>
          <w:szCs w:val="30"/>
          <w:lang w:val="en-US" w:eastAsia="zh-CN"/>
        </w:rPr>
        <w:t>截至2022年12月31日，桃源县西安镇人民政府编制人数79人，年末实有人数55人，较上年度增加1人。</w:t>
      </w:r>
    </w:p>
    <w:p>
      <w:pPr>
        <w:widowControl/>
        <w:spacing w:line="500" w:lineRule="exact"/>
        <w:ind w:firstLine="640" w:firstLineChars="200"/>
        <w:rPr>
          <w:rFonts w:eastAsia="楷体_GB2312"/>
          <w:sz w:val="32"/>
          <w:szCs w:val="32"/>
        </w:rPr>
      </w:pPr>
      <w:r>
        <w:rPr>
          <w:rFonts w:hint="eastAsia" w:eastAsia="楷体_GB2312" w:cs="楷体_GB2312"/>
          <w:sz w:val="32"/>
          <w:szCs w:val="32"/>
        </w:rPr>
        <w:t>（二）单位主要职责</w:t>
      </w:r>
    </w:p>
    <w:p>
      <w:pPr>
        <w:widowControl/>
        <w:spacing w:line="500" w:lineRule="exact"/>
        <w:ind w:firstLine="600" w:firstLineChars="200"/>
        <w:rPr>
          <w:rFonts w:hint="eastAsia"/>
          <w:sz w:val="30"/>
          <w:szCs w:val="30"/>
        </w:rPr>
      </w:pPr>
      <w:r>
        <w:rPr>
          <w:rFonts w:hint="eastAsia"/>
          <w:sz w:val="30"/>
          <w:szCs w:val="30"/>
          <w:lang w:val="en-US" w:eastAsia="zh-CN"/>
        </w:rPr>
        <w:t>1、</w:t>
      </w:r>
      <w:r>
        <w:rPr>
          <w:rFonts w:hint="eastAsia"/>
          <w:sz w:val="30"/>
          <w:szCs w:val="30"/>
        </w:rPr>
        <w:t>制定和组织实施经济、科技和社会发展计划，制定资源开发技术改造和产业结构调整方案，组织指导好各业生产，搞好商品流通，协调好本乡与外地区的经济交流与合作，组织经济运行，促进经济发展。</w:t>
      </w:r>
    </w:p>
    <w:p>
      <w:pPr>
        <w:widowControl/>
        <w:spacing w:line="500" w:lineRule="exact"/>
        <w:ind w:firstLine="600" w:firstLineChars="200"/>
        <w:rPr>
          <w:rFonts w:hint="eastAsia"/>
          <w:sz w:val="30"/>
          <w:szCs w:val="30"/>
        </w:rPr>
      </w:pPr>
      <w:r>
        <w:rPr>
          <w:rFonts w:hint="eastAsia"/>
          <w:sz w:val="30"/>
          <w:szCs w:val="30"/>
          <w:lang w:val="en-US" w:eastAsia="zh-CN"/>
        </w:rPr>
        <w:t>2、</w:t>
      </w:r>
      <w:r>
        <w:rPr>
          <w:rFonts w:hint="eastAsia"/>
          <w:sz w:val="30"/>
          <w:szCs w:val="30"/>
        </w:rPr>
        <w:t>制定并组织实施乡村建设规划，部署重点工程建设，地方道路建设及公共设施，水利设施的管理，负责土地、林木、水等自然资源和生态环境的保护，做好护林防护工作。</w:t>
      </w:r>
    </w:p>
    <w:p>
      <w:pPr>
        <w:widowControl/>
        <w:spacing w:line="500" w:lineRule="exact"/>
        <w:ind w:firstLine="600" w:firstLineChars="200"/>
        <w:rPr>
          <w:rFonts w:hint="eastAsia"/>
          <w:sz w:val="30"/>
          <w:szCs w:val="30"/>
        </w:rPr>
      </w:pPr>
      <w:r>
        <w:rPr>
          <w:rFonts w:hint="eastAsia"/>
          <w:sz w:val="30"/>
          <w:szCs w:val="30"/>
          <w:lang w:val="en-US" w:eastAsia="zh-CN"/>
        </w:rPr>
        <w:t>3、</w:t>
      </w:r>
      <w:r>
        <w:rPr>
          <w:rFonts w:hint="eastAsia"/>
          <w:sz w:val="30"/>
          <w:szCs w:val="30"/>
        </w:rPr>
        <w:t>负责本行政区域内的民政、计划生育、文化教育、卫生、体育等社会公益事业的综合性工作，维护一切经济单位和个人的正当经济权益，取缔非法经济活动，调解和处理民事经济纠纷，打击刑事犯罪维护社会稳定。</w:t>
      </w:r>
    </w:p>
    <w:p>
      <w:pPr>
        <w:widowControl/>
        <w:spacing w:line="500" w:lineRule="exact"/>
        <w:ind w:firstLine="600" w:firstLineChars="200"/>
        <w:rPr>
          <w:rFonts w:hint="eastAsia"/>
          <w:sz w:val="30"/>
          <w:szCs w:val="30"/>
        </w:rPr>
      </w:pPr>
      <w:r>
        <w:rPr>
          <w:rFonts w:hint="eastAsia"/>
          <w:sz w:val="30"/>
          <w:szCs w:val="30"/>
          <w:lang w:val="en-US" w:eastAsia="zh-CN"/>
        </w:rPr>
        <w:t>4、</w:t>
      </w:r>
      <w:r>
        <w:rPr>
          <w:rFonts w:hint="eastAsia"/>
          <w:sz w:val="30"/>
          <w:szCs w:val="30"/>
        </w:rPr>
        <w:t>抓好精神文明建设，丰富群众文化生活，提倡移风易俗，反对封建迷信，破除陈规陋习，树立社会主义新风尚。</w:t>
      </w:r>
    </w:p>
    <w:p>
      <w:pPr>
        <w:widowControl/>
        <w:spacing w:line="500" w:lineRule="exact"/>
        <w:ind w:firstLine="600" w:firstLineChars="200"/>
        <w:rPr>
          <w:rFonts w:hint="eastAsia"/>
          <w:sz w:val="30"/>
          <w:szCs w:val="30"/>
        </w:rPr>
      </w:pPr>
      <w:r>
        <w:rPr>
          <w:rFonts w:hint="eastAsia"/>
          <w:sz w:val="30"/>
          <w:szCs w:val="30"/>
          <w:lang w:val="en-US" w:eastAsia="zh-CN"/>
        </w:rPr>
        <w:t>5、</w:t>
      </w:r>
      <w:r>
        <w:rPr>
          <w:rFonts w:hint="eastAsia"/>
          <w:sz w:val="30"/>
          <w:szCs w:val="30"/>
        </w:rPr>
        <w:t>完成上级政府交办的其他事项。</w:t>
      </w:r>
    </w:p>
    <w:p>
      <w:pPr>
        <w:widowControl/>
        <w:spacing w:line="500" w:lineRule="exact"/>
        <w:ind w:firstLine="640" w:firstLineChars="200"/>
        <w:rPr>
          <w:rFonts w:eastAsia="楷体_GB2312"/>
          <w:sz w:val="32"/>
          <w:szCs w:val="32"/>
        </w:rPr>
      </w:pPr>
      <w:r>
        <w:rPr>
          <w:rFonts w:hint="eastAsia" w:eastAsia="楷体_GB2312" w:cs="楷体_GB2312"/>
          <w:sz w:val="32"/>
          <w:szCs w:val="32"/>
        </w:rPr>
        <w:t>（三）部门财务情况</w:t>
      </w:r>
    </w:p>
    <w:p>
      <w:pPr>
        <w:widowControl/>
        <w:spacing w:line="500" w:lineRule="exact"/>
        <w:ind w:firstLine="600" w:firstLineChars="200"/>
        <w:rPr>
          <w:sz w:val="30"/>
          <w:szCs w:val="30"/>
        </w:rPr>
      </w:pPr>
      <w:r>
        <w:rPr>
          <w:sz w:val="30"/>
          <w:szCs w:val="30"/>
        </w:rPr>
        <w:t xml:space="preserve">1. </w:t>
      </w:r>
      <w:r>
        <w:rPr>
          <w:rFonts w:hint="eastAsia"/>
          <w:sz w:val="30"/>
          <w:szCs w:val="30"/>
        </w:rPr>
        <w:t>资产负债及净资产情况</w:t>
      </w:r>
    </w:p>
    <w:p>
      <w:pPr>
        <w:widowControl/>
        <w:spacing w:line="500" w:lineRule="exact"/>
        <w:ind w:firstLine="600" w:firstLineChars="200"/>
        <w:rPr>
          <w:sz w:val="30"/>
          <w:szCs w:val="30"/>
        </w:rPr>
      </w:pPr>
      <w:r>
        <w:rPr>
          <w:sz w:val="30"/>
          <w:szCs w:val="30"/>
        </w:rPr>
        <w:t>202</w:t>
      </w:r>
      <w:r>
        <w:rPr>
          <w:rFonts w:hint="eastAsia"/>
          <w:sz w:val="30"/>
          <w:szCs w:val="30"/>
          <w:lang w:val="en-US" w:eastAsia="zh-CN"/>
        </w:rPr>
        <w:t>2</w:t>
      </w:r>
      <w:r>
        <w:rPr>
          <w:rFonts w:hint="eastAsia"/>
          <w:sz w:val="30"/>
          <w:szCs w:val="30"/>
        </w:rPr>
        <w:t>年</w:t>
      </w:r>
      <w:r>
        <w:rPr>
          <w:sz w:val="30"/>
          <w:szCs w:val="30"/>
        </w:rPr>
        <w:t>12</w:t>
      </w:r>
      <w:r>
        <w:rPr>
          <w:rFonts w:hint="eastAsia"/>
          <w:sz w:val="30"/>
          <w:szCs w:val="30"/>
        </w:rPr>
        <w:t>月</w:t>
      </w:r>
      <w:r>
        <w:rPr>
          <w:sz w:val="30"/>
          <w:szCs w:val="30"/>
        </w:rPr>
        <w:t>31</w:t>
      </w:r>
      <w:r>
        <w:rPr>
          <w:rFonts w:hint="eastAsia"/>
          <w:sz w:val="30"/>
          <w:szCs w:val="30"/>
        </w:rPr>
        <w:t>日单位资产总额</w:t>
      </w:r>
      <w:r>
        <w:rPr>
          <w:rFonts w:hint="eastAsia"/>
          <w:sz w:val="30"/>
          <w:szCs w:val="30"/>
          <w:lang w:val="en-US" w:eastAsia="zh-CN"/>
        </w:rPr>
        <w:t>1661.27</w:t>
      </w:r>
      <w:r>
        <w:rPr>
          <w:rFonts w:hint="eastAsia"/>
          <w:sz w:val="30"/>
          <w:szCs w:val="30"/>
        </w:rPr>
        <w:t>万元，其中：流动资产</w:t>
      </w:r>
      <w:r>
        <w:rPr>
          <w:rFonts w:hint="eastAsia"/>
          <w:sz w:val="30"/>
          <w:szCs w:val="30"/>
          <w:lang w:val="en-US" w:eastAsia="zh-CN"/>
        </w:rPr>
        <w:t>1376.19</w:t>
      </w:r>
      <w:r>
        <w:rPr>
          <w:rFonts w:hint="eastAsia"/>
          <w:sz w:val="30"/>
          <w:szCs w:val="30"/>
        </w:rPr>
        <w:t>万元、非流动资产</w:t>
      </w:r>
      <w:r>
        <w:rPr>
          <w:rFonts w:hint="eastAsia"/>
          <w:sz w:val="30"/>
          <w:szCs w:val="30"/>
          <w:lang w:val="en-US" w:eastAsia="zh-CN"/>
        </w:rPr>
        <w:t>359.22</w:t>
      </w:r>
      <w:r>
        <w:rPr>
          <w:rFonts w:hint="eastAsia"/>
          <w:sz w:val="30"/>
          <w:szCs w:val="30"/>
        </w:rPr>
        <w:t>万元，负债总额</w:t>
      </w:r>
      <w:r>
        <w:rPr>
          <w:rFonts w:hint="eastAsia"/>
          <w:sz w:val="30"/>
          <w:szCs w:val="30"/>
          <w:lang w:val="en-US" w:eastAsia="zh-CN"/>
        </w:rPr>
        <w:t>1056.77</w:t>
      </w:r>
      <w:r>
        <w:rPr>
          <w:rFonts w:hint="eastAsia"/>
          <w:sz w:val="30"/>
          <w:szCs w:val="30"/>
        </w:rPr>
        <w:t>万元，净资产总额</w:t>
      </w:r>
      <w:r>
        <w:rPr>
          <w:rFonts w:hint="eastAsia"/>
          <w:sz w:val="30"/>
          <w:szCs w:val="30"/>
          <w:lang w:val="en-US" w:eastAsia="zh-CN"/>
        </w:rPr>
        <w:t>688.28</w:t>
      </w:r>
      <w:r>
        <w:rPr>
          <w:rFonts w:hint="eastAsia"/>
          <w:sz w:val="30"/>
          <w:szCs w:val="30"/>
        </w:rPr>
        <w:t>万元。</w:t>
      </w:r>
    </w:p>
    <w:p>
      <w:pPr>
        <w:widowControl/>
        <w:spacing w:line="500" w:lineRule="exact"/>
        <w:ind w:firstLine="600" w:firstLineChars="200"/>
        <w:rPr>
          <w:sz w:val="30"/>
          <w:szCs w:val="30"/>
        </w:rPr>
      </w:pPr>
      <w:r>
        <w:rPr>
          <w:sz w:val="30"/>
          <w:szCs w:val="30"/>
        </w:rPr>
        <w:t xml:space="preserve">2. </w:t>
      </w:r>
      <w:r>
        <w:rPr>
          <w:rFonts w:hint="eastAsia" w:cs="仿宋_GB2312"/>
          <w:sz w:val="30"/>
          <w:szCs w:val="30"/>
        </w:rPr>
        <w:t>部门整体收支情况</w:t>
      </w:r>
    </w:p>
    <w:p>
      <w:pPr>
        <w:widowControl/>
        <w:spacing w:line="500" w:lineRule="exact"/>
        <w:ind w:firstLine="600" w:firstLineChars="200"/>
        <w:rPr>
          <w:sz w:val="30"/>
          <w:szCs w:val="30"/>
        </w:rPr>
      </w:pPr>
      <w:r>
        <w:rPr>
          <w:rFonts w:hint="eastAsia"/>
          <w:sz w:val="30"/>
          <w:szCs w:val="30"/>
          <w:lang w:eastAsia="zh-CN"/>
        </w:rPr>
        <w:t>2022</w:t>
      </w:r>
      <w:r>
        <w:rPr>
          <w:rFonts w:hint="eastAsia"/>
          <w:sz w:val="30"/>
          <w:szCs w:val="30"/>
        </w:rPr>
        <w:t>年部门年初预算收入2277.63万元，决算收入</w:t>
      </w:r>
      <w:r>
        <w:rPr>
          <w:rFonts w:hint="eastAsia"/>
          <w:sz w:val="30"/>
          <w:szCs w:val="30"/>
          <w:lang w:val="en-US" w:eastAsia="zh-CN"/>
        </w:rPr>
        <w:t>3383.39</w:t>
      </w:r>
      <w:r>
        <w:rPr>
          <w:rFonts w:hint="eastAsia"/>
          <w:sz w:val="30"/>
          <w:szCs w:val="30"/>
        </w:rPr>
        <w:t>万元，其中：一般公共预算拨款</w:t>
      </w:r>
      <w:r>
        <w:rPr>
          <w:rFonts w:hint="eastAsia"/>
          <w:sz w:val="30"/>
          <w:szCs w:val="30"/>
          <w:lang w:val="en-US" w:eastAsia="zh-CN"/>
        </w:rPr>
        <w:t>3186.71</w:t>
      </w:r>
      <w:r>
        <w:rPr>
          <w:rFonts w:hint="eastAsia"/>
          <w:sz w:val="30"/>
          <w:szCs w:val="30"/>
        </w:rPr>
        <w:t>万元，纳入专户管理的非税收入拨款</w:t>
      </w:r>
      <w:r>
        <w:rPr>
          <w:rFonts w:hint="eastAsia"/>
          <w:sz w:val="30"/>
          <w:szCs w:val="30"/>
          <w:lang w:val="en-US" w:eastAsia="zh-CN"/>
        </w:rPr>
        <w:t>0</w:t>
      </w:r>
      <w:r>
        <w:rPr>
          <w:rFonts w:hint="eastAsia"/>
          <w:sz w:val="30"/>
          <w:szCs w:val="30"/>
        </w:rPr>
        <w:t>万元，其他资金</w:t>
      </w:r>
      <w:r>
        <w:rPr>
          <w:rFonts w:hint="eastAsia"/>
          <w:sz w:val="30"/>
          <w:szCs w:val="30"/>
          <w:lang w:val="en-US" w:eastAsia="zh-CN"/>
        </w:rPr>
        <w:t>40</w:t>
      </w:r>
      <w:r>
        <w:rPr>
          <w:rFonts w:hint="eastAsia"/>
          <w:sz w:val="30"/>
          <w:szCs w:val="30"/>
        </w:rPr>
        <w:t>万元。上年结转156.68万元，其中：一般公共预算拨款156.68万元，纳入专户管理的非税收入拨款</w:t>
      </w:r>
      <w:r>
        <w:rPr>
          <w:rFonts w:hint="eastAsia"/>
          <w:sz w:val="30"/>
          <w:szCs w:val="30"/>
          <w:lang w:val="en-US" w:eastAsia="zh-CN"/>
        </w:rPr>
        <w:t>0</w:t>
      </w:r>
      <w:r>
        <w:rPr>
          <w:rFonts w:hint="eastAsia"/>
          <w:sz w:val="30"/>
          <w:szCs w:val="30"/>
        </w:rPr>
        <w:t>万元。全年可执行预算合计3383.39万元，其中：一般公共预算拨款3186.09万元，纳入专户管理的非税收入拨款</w:t>
      </w:r>
      <w:r>
        <w:rPr>
          <w:rFonts w:hint="eastAsia"/>
          <w:sz w:val="30"/>
          <w:szCs w:val="30"/>
          <w:lang w:val="en-US" w:eastAsia="zh-CN"/>
        </w:rPr>
        <w:t>0</w:t>
      </w:r>
      <w:r>
        <w:rPr>
          <w:rFonts w:hint="eastAsia"/>
          <w:sz w:val="30"/>
          <w:szCs w:val="30"/>
        </w:rPr>
        <w:t>万元，其他资金</w:t>
      </w:r>
      <w:r>
        <w:rPr>
          <w:rFonts w:hint="eastAsia"/>
          <w:sz w:val="30"/>
          <w:szCs w:val="30"/>
          <w:lang w:val="en-US" w:eastAsia="zh-CN"/>
        </w:rPr>
        <w:t>40</w:t>
      </w:r>
      <w:r>
        <w:rPr>
          <w:rFonts w:hint="eastAsia"/>
          <w:sz w:val="30"/>
          <w:szCs w:val="30"/>
        </w:rPr>
        <w:t>万元。</w:t>
      </w:r>
    </w:p>
    <w:p>
      <w:pPr>
        <w:widowControl/>
        <w:spacing w:line="500" w:lineRule="exact"/>
        <w:ind w:firstLine="600" w:firstLineChars="200"/>
        <w:rPr>
          <w:sz w:val="30"/>
          <w:szCs w:val="30"/>
        </w:rPr>
      </w:pPr>
      <w:r>
        <w:rPr>
          <w:rFonts w:hint="eastAsia"/>
          <w:sz w:val="30"/>
          <w:szCs w:val="30"/>
          <w:lang w:eastAsia="zh-CN"/>
        </w:rPr>
        <w:t>2022</w:t>
      </w:r>
      <w:r>
        <w:rPr>
          <w:rFonts w:hint="eastAsia"/>
          <w:sz w:val="30"/>
          <w:szCs w:val="30"/>
        </w:rPr>
        <w:t>年部门年初预算支出2277.63万元，其中：基本支出637.03万元，项目支出1640.60万元。部门决算支出3383.39万元，其中：基本支出</w:t>
      </w:r>
      <w:r>
        <w:rPr>
          <w:rFonts w:hint="eastAsia"/>
          <w:sz w:val="30"/>
          <w:szCs w:val="30"/>
          <w:lang w:val="en-US" w:eastAsia="zh-CN"/>
        </w:rPr>
        <w:t>1322.97</w:t>
      </w:r>
      <w:r>
        <w:rPr>
          <w:rFonts w:hint="eastAsia"/>
          <w:sz w:val="30"/>
          <w:szCs w:val="30"/>
        </w:rPr>
        <w:t>万元，项目支出2060.42万元。</w:t>
      </w:r>
    </w:p>
    <w:p>
      <w:pPr>
        <w:widowControl/>
        <w:spacing w:line="500" w:lineRule="exact"/>
        <w:ind w:firstLine="600" w:firstLineChars="200"/>
        <w:rPr>
          <w:sz w:val="30"/>
          <w:szCs w:val="30"/>
        </w:rPr>
      </w:pPr>
      <w:r>
        <w:rPr>
          <w:rFonts w:hint="eastAsia"/>
          <w:sz w:val="30"/>
          <w:szCs w:val="30"/>
        </w:rPr>
        <w:t>年末结转结余</w:t>
      </w:r>
      <w:r>
        <w:rPr>
          <w:rFonts w:hint="eastAsia"/>
          <w:sz w:val="30"/>
          <w:szCs w:val="30"/>
          <w:lang w:val="en-US" w:eastAsia="zh-CN"/>
        </w:rPr>
        <w:t>0</w:t>
      </w:r>
      <w:r>
        <w:rPr>
          <w:rFonts w:hint="eastAsia"/>
          <w:sz w:val="30"/>
          <w:szCs w:val="30"/>
        </w:rPr>
        <w:t>万元</w:t>
      </w:r>
      <w:r>
        <w:rPr>
          <w:rFonts w:hint="eastAsia"/>
          <w:sz w:val="30"/>
          <w:szCs w:val="30"/>
          <w:lang w:eastAsia="zh-CN"/>
        </w:rPr>
        <w:t>。</w:t>
      </w:r>
    </w:p>
    <w:p>
      <w:pPr>
        <w:widowControl/>
        <w:spacing w:line="500" w:lineRule="exact"/>
        <w:ind w:firstLine="640" w:firstLineChars="200"/>
        <w:rPr>
          <w:rFonts w:eastAsia="楷体_GB2312"/>
          <w:sz w:val="32"/>
          <w:szCs w:val="32"/>
        </w:rPr>
      </w:pPr>
      <w:r>
        <w:rPr>
          <w:rFonts w:hint="eastAsia" w:eastAsia="楷体_GB2312" w:cs="楷体_GB2312"/>
          <w:sz w:val="32"/>
          <w:szCs w:val="32"/>
        </w:rPr>
        <w:t>（四）部门绩效目标</w:t>
      </w:r>
    </w:p>
    <w:p>
      <w:pPr>
        <w:widowControl/>
        <w:spacing w:line="500" w:lineRule="exact"/>
        <w:ind w:firstLine="600" w:firstLineChars="200"/>
        <w:rPr>
          <w:sz w:val="30"/>
          <w:szCs w:val="30"/>
        </w:rPr>
      </w:pPr>
      <w:r>
        <w:rPr>
          <w:sz w:val="30"/>
          <w:szCs w:val="30"/>
        </w:rPr>
        <w:t xml:space="preserve">1. </w:t>
      </w:r>
      <w:r>
        <w:rPr>
          <w:rFonts w:hint="eastAsia" w:cs="仿宋_GB2312"/>
          <w:sz w:val="30"/>
          <w:szCs w:val="30"/>
        </w:rPr>
        <w:t>部门绩效总目标</w:t>
      </w:r>
    </w:p>
    <w:p>
      <w:pPr>
        <w:widowControl/>
        <w:spacing w:line="500" w:lineRule="exact"/>
        <w:ind w:firstLine="600" w:firstLineChars="200"/>
        <w:rPr>
          <w:sz w:val="30"/>
          <w:szCs w:val="30"/>
        </w:rPr>
      </w:pPr>
      <w:r>
        <w:rPr>
          <w:rFonts w:hint="eastAsia"/>
          <w:sz w:val="30"/>
          <w:szCs w:val="30"/>
        </w:rPr>
        <w:t>加强政府职能建设，提高政府履职水平和能力。做好预决算，公开力度达到100%，合理高效利用资金，使资金最大力度助</w:t>
      </w:r>
      <w:r>
        <w:rPr>
          <w:rFonts w:hint="eastAsia"/>
          <w:sz w:val="30"/>
          <w:szCs w:val="30"/>
          <w:lang w:val="en-US" w:eastAsia="zh-CN"/>
        </w:rPr>
        <w:t>力</w:t>
      </w:r>
      <w:r>
        <w:rPr>
          <w:rFonts w:hint="eastAsia"/>
          <w:sz w:val="30"/>
          <w:szCs w:val="30"/>
        </w:rPr>
        <w:t>乡村振兴。</w:t>
      </w:r>
    </w:p>
    <w:p>
      <w:pPr>
        <w:widowControl/>
        <w:spacing w:line="500" w:lineRule="exact"/>
        <w:ind w:firstLine="600" w:firstLineChars="200"/>
        <w:rPr>
          <w:sz w:val="30"/>
          <w:szCs w:val="30"/>
        </w:rPr>
      </w:pPr>
      <w:r>
        <w:rPr>
          <w:sz w:val="30"/>
          <w:szCs w:val="30"/>
        </w:rPr>
        <w:t xml:space="preserve">2. </w:t>
      </w:r>
      <w:r>
        <w:rPr>
          <w:rFonts w:hint="eastAsia" w:cs="仿宋_GB2312"/>
          <w:sz w:val="30"/>
          <w:szCs w:val="30"/>
        </w:rPr>
        <w:t>部门</w:t>
      </w:r>
      <w:r>
        <w:rPr>
          <w:rFonts w:hint="eastAsia"/>
          <w:sz w:val="30"/>
          <w:szCs w:val="30"/>
          <w:lang w:eastAsia="zh-CN"/>
        </w:rPr>
        <w:t>2022</w:t>
      </w:r>
      <w:r>
        <w:rPr>
          <w:rFonts w:hint="eastAsia" w:cs="仿宋_GB2312"/>
          <w:sz w:val="30"/>
          <w:szCs w:val="30"/>
        </w:rPr>
        <w:t>年度绩效目标</w:t>
      </w:r>
    </w:p>
    <w:p>
      <w:pPr>
        <w:widowControl/>
        <w:spacing w:line="500" w:lineRule="exact"/>
        <w:ind w:firstLine="600" w:firstLineChars="200"/>
        <w:rPr>
          <w:sz w:val="30"/>
          <w:szCs w:val="30"/>
        </w:rPr>
      </w:pPr>
      <w:r>
        <w:rPr>
          <w:rFonts w:hint="eastAsia" w:cs="仿宋_GB2312"/>
          <w:sz w:val="30"/>
          <w:szCs w:val="30"/>
        </w:rPr>
        <w:t>（</w:t>
      </w:r>
      <w:r>
        <w:rPr>
          <w:sz w:val="30"/>
          <w:szCs w:val="30"/>
        </w:rPr>
        <w:t>1</w:t>
      </w:r>
      <w:r>
        <w:rPr>
          <w:rFonts w:hint="eastAsia" w:cs="仿宋_GB2312"/>
          <w:sz w:val="30"/>
          <w:szCs w:val="30"/>
        </w:rPr>
        <w:t>）产出指标</w:t>
      </w:r>
    </w:p>
    <w:p>
      <w:pPr>
        <w:widowControl/>
        <w:spacing w:line="500" w:lineRule="exact"/>
        <w:ind w:firstLine="600" w:firstLineChars="200"/>
        <w:jc w:val="left"/>
        <w:rPr>
          <w:rFonts w:hint="eastAsia"/>
          <w:sz w:val="30"/>
          <w:szCs w:val="30"/>
          <w:lang w:val="en-US" w:eastAsia="zh-CN"/>
        </w:rPr>
      </w:pPr>
      <w:r>
        <w:rPr>
          <w:rFonts w:hint="eastAsia"/>
          <w:sz w:val="30"/>
          <w:szCs w:val="30"/>
        </w:rPr>
        <w:t>①数量指标。乡村振兴基础设施项目建设&gt;9个</w:t>
      </w:r>
      <w:r>
        <w:rPr>
          <w:rFonts w:hint="eastAsia"/>
          <w:sz w:val="30"/>
          <w:szCs w:val="30"/>
          <w:lang w:eastAsia="zh-CN"/>
        </w:rPr>
        <w:t>；走访慰问困难群众和特殊群众的次数&gt;15次；走访慰问困难群众和特殊群众的人次</w:t>
      </w:r>
      <w:r>
        <w:rPr>
          <w:rFonts w:hint="eastAsia"/>
          <w:sz w:val="30"/>
          <w:szCs w:val="30"/>
          <w:lang w:val="en-US" w:eastAsia="zh-CN"/>
        </w:rPr>
        <w:t>&gt;800</w:t>
      </w:r>
      <w:r>
        <w:rPr>
          <w:rFonts w:hint="eastAsia"/>
          <w:sz w:val="30"/>
          <w:szCs w:val="30"/>
          <w:lang w:eastAsia="zh-CN"/>
        </w:rPr>
        <w:t>人次；秸秆焚烧、森林防火宣传覆盖村居≥11个。</w:t>
      </w:r>
      <w:r>
        <w:rPr>
          <w:rFonts w:hint="eastAsia"/>
          <w:sz w:val="30"/>
          <w:szCs w:val="30"/>
          <w:lang w:val="en-US" w:eastAsia="zh-CN"/>
        </w:rPr>
        <w:t xml:space="preserve">                 </w:t>
      </w:r>
    </w:p>
    <w:p>
      <w:pPr>
        <w:widowControl/>
        <w:spacing w:line="500" w:lineRule="exact"/>
        <w:ind w:firstLine="600" w:firstLineChars="200"/>
        <w:jc w:val="left"/>
        <w:rPr>
          <w:rFonts w:hint="eastAsia"/>
          <w:sz w:val="30"/>
          <w:szCs w:val="30"/>
        </w:rPr>
      </w:pPr>
      <w:r>
        <w:rPr>
          <w:rFonts w:hint="eastAsia"/>
          <w:sz w:val="30"/>
          <w:szCs w:val="30"/>
          <w:lang w:eastAsia="zh-CN"/>
        </w:rPr>
        <w:t>②质量指标。基础设施工程第一次验收合格率大于95%；秸秆焚烧、森林防火宣传覆盖全部村居；乡村振兴和脱贫攻坚取得较好的成果。</w:t>
      </w:r>
    </w:p>
    <w:p>
      <w:pPr>
        <w:widowControl/>
        <w:spacing w:line="500" w:lineRule="exact"/>
        <w:ind w:firstLine="600" w:firstLineChars="200"/>
        <w:rPr>
          <w:rFonts w:hint="eastAsia"/>
          <w:sz w:val="30"/>
          <w:szCs w:val="30"/>
        </w:rPr>
      </w:pPr>
      <w:r>
        <w:rPr>
          <w:rFonts w:hint="eastAsia"/>
          <w:sz w:val="30"/>
          <w:szCs w:val="30"/>
        </w:rPr>
        <w:t>③时效指标。惠农补贴等各类指标发放及时</w:t>
      </w:r>
      <w:r>
        <w:rPr>
          <w:rFonts w:hint="eastAsia"/>
          <w:sz w:val="30"/>
          <w:szCs w:val="30"/>
          <w:lang w:eastAsia="zh-CN"/>
        </w:rPr>
        <w:t>；按时拨付村级各项资金。</w:t>
      </w:r>
    </w:p>
    <w:p>
      <w:pPr>
        <w:widowControl/>
        <w:spacing w:line="500" w:lineRule="exact"/>
        <w:ind w:firstLine="600" w:firstLineChars="200"/>
        <w:rPr>
          <w:rFonts w:hint="eastAsia"/>
          <w:sz w:val="30"/>
          <w:szCs w:val="30"/>
        </w:rPr>
      </w:pPr>
      <w:r>
        <w:rPr>
          <w:rFonts w:hint="eastAsia"/>
          <w:sz w:val="30"/>
          <w:szCs w:val="30"/>
        </w:rPr>
        <w:t>④成本指标。严格控制三公经费&lt;7万元</w:t>
      </w:r>
      <w:r>
        <w:rPr>
          <w:rFonts w:hint="eastAsia"/>
          <w:sz w:val="30"/>
          <w:szCs w:val="30"/>
          <w:lang w:eastAsia="zh-CN"/>
        </w:rPr>
        <w:t>。</w:t>
      </w:r>
    </w:p>
    <w:p>
      <w:pPr>
        <w:widowControl/>
        <w:numPr>
          <w:ilvl w:val="0"/>
          <w:numId w:val="1"/>
        </w:numPr>
        <w:spacing w:line="500" w:lineRule="exact"/>
        <w:ind w:firstLine="600" w:firstLineChars="200"/>
        <w:rPr>
          <w:rFonts w:hint="eastAsia" w:cs="仿宋_GB2312"/>
          <w:i w:val="0"/>
          <w:iCs w:val="0"/>
          <w:sz w:val="30"/>
          <w:szCs w:val="30"/>
        </w:rPr>
      </w:pPr>
      <w:r>
        <w:rPr>
          <w:rFonts w:hint="eastAsia" w:cs="仿宋_GB2312"/>
          <w:i w:val="0"/>
          <w:iCs w:val="0"/>
          <w:sz w:val="30"/>
          <w:szCs w:val="30"/>
        </w:rPr>
        <w:t>效益指标</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1.社会效益指标。深入开展党风廉政建设工作，争创党风廉政建设先进单位；无重大事故无案件发生，及时处置信访事件，争创全县综治考核先进单位；贫困户就业率提升5%；新型农村合作医疗人数参保率达95%。</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2.生态效益指标。加强节能管理，创建节约型机关，改厕完成率&gt;95%。</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3.可持续影响指标。村集体合作社每年稳定向村民分红，村集体经济收入增长率&gt;10%。</w:t>
      </w:r>
    </w:p>
    <w:p>
      <w:pPr>
        <w:widowControl/>
        <w:spacing w:line="500" w:lineRule="exact"/>
        <w:ind w:firstLine="600" w:firstLineChars="200"/>
      </w:pPr>
      <w:r>
        <w:rPr>
          <w:rFonts w:hint="eastAsia"/>
          <w:sz w:val="30"/>
          <w:szCs w:val="30"/>
          <w:lang w:val="en-US" w:eastAsia="zh-CN"/>
        </w:rPr>
        <w:t>4.满意度。干部职工和村干部、群众满意度&gt;95%；社会评价和群众满意度&gt;95%。</w:t>
      </w:r>
    </w:p>
    <w:p>
      <w:pPr>
        <w:pStyle w:val="10"/>
        <w:widowControl/>
        <w:spacing w:line="500" w:lineRule="exact"/>
        <w:rPr>
          <w:rFonts w:ascii="Times New Roman" w:hAnsi="Times New Roman" w:eastAsia="黑体" w:cs="Times New Roman"/>
          <w:sz w:val="32"/>
          <w:szCs w:val="32"/>
        </w:rPr>
      </w:pPr>
      <w:r>
        <w:rPr>
          <w:rFonts w:hint="eastAsia" w:ascii="Times New Roman" w:hAnsi="Times New Roman" w:eastAsia="黑体" w:cs="黑体"/>
          <w:sz w:val="32"/>
          <w:szCs w:val="32"/>
        </w:rPr>
        <w:t>二、一般公共预算支出情况</w:t>
      </w:r>
    </w:p>
    <w:p>
      <w:pPr>
        <w:widowControl/>
        <w:spacing w:line="500" w:lineRule="exact"/>
        <w:ind w:firstLine="600" w:firstLineChars="200"/>
        <w:rPr>
          <w:sz w:val="30"/>
          <w:szCs w:val="30"/>
        </w:rPr>
      </w:pPr>
      <w:r>
        <w:rPr>
          <w:rFonts w:hint="eastAsia"/>
          <w:sz w:val="30"/>
          <w:szCs w:val="30"/>
          <w:lang w:val="en-US" w:eastAsia="zh-CN"/>
        </w:rPr>
        <w:t>桃源县西安镇人民政府</w:t>
      </w:r>
      <w:r>
        <w:rPr>
          <w:rFonts w:hint="eastAsia"/>
          <w:sz w:val="30"/>
          <w:szCs w:val="30"/>
        </w:rPr>
        <w:t>本级</w:t>
      </w:r>
      <w:r>
        <w:rPr>
          <w:rFonts w:hint="eastAsia"/>
          <w:sz w:val="30"/>
          <w:szCs w:val="30"/>
          <w:lang w:eastAsia="zh-CN"/>
        </w:rPr>
        <w:t>2022</w:t>
      </w:r>
      <w:r>
        <w:rPr>
          <w:rFonts w:hint="eastAsia"/>
          <w:sz w:val="30"/>
          <w:szCs w:val="30"/>
        </w:rPr>
        <w:t>年度一般公共预算财政拨款年初结转和结余156.68万元，本年收入</w:t>
      </w:r>
      <w:r>
        <w:rPr>
          <w:rFonts w:hint="eastAsia"/>
          <w:sz w:val="30"/>
          <w:szCs w:val="30"/>
          <w:lang w:val="en-US" w:eastAsia="zh-CN"/>
        </w:rPr>
        <w:t>3299.57</w:t>
      </w:r>
      <w:r>
        <w:rPr>
          <w:rFonts w:hint="eastAsia"/>
          <w:sz w:val="30"/>
          <w:szCs w:val="30"/>
        </w:rPr>
        <w:t>万元，本年支出</w:t>
      </w:r>
      <w:r>
        <w:rPr>
          <w:rFonts w:hint="eastAsia"/>
          <w:sz w:val="30"/>
          <w:szCs w:val="30"/>
          <w:lang w:val="en-US" w:eastAsia="zh-CN"/>
        </w:rPr>
        <w:t>3299.57</w:t>
      </w:r>
      <w:r>
        <w:rPr>
          <w:rFonts w:hint="eastAsia"/>
          <w:sz w:val="30"/>
          <w:szCs w:val="30"/>
        </w:rPr>
        <w:t>万元，年末结转和结余</w:t>
      </w:r>
      <w:r>
        <w:rPr>
          <w:rFonts w:hint="eastAsia"/>
          <w:sz w:val="30"/>
          <w:szCs w:val="30"/>
          <w:lang w:val="en-US" w:eastAsia="zh-CN"/>
        </w:rPr>
        <w:t>0</w:t>
      </w:r>
      <w:r>
        <w:rPr>
          <w:rFonts w:hint="eastAsia"/>
          <w:sz w:val="30"/>
          <w:szCs w:val="30"/>
        </w:rPr>
        <w:t>万元。</w:t>
      </w:r>
    </w:p>
    <w:p>
      <w:pPr>
        <w:widowControl/>
        <w:spacing w:line="500" w:lineRule="exact"/>
        <w:ind w:firstLine="640" w:firstLineChars="200"/>
        <w:rPr>
          <w:rFonts w:eastAsia="楷体_GB2312"/>
          <w:sz w:val="32"/>
          <w:szCs w:val="32"/>
        </w:rPr>
      </w:pPr>
      <w:r>
        <w:rPr>
          <w:rFonts w:hint="eastAsia" w:eastAsia="楷体_GB2312" w:cs="楷体_GB2312"/>
          <w:sz w:val="32"/>
          <w:szCs w:val="32"/>
        </w:rPr>
        <w:t>（一）基本支出情况</w:t>
      </w:r>
    </w:p>
    <w:p>
      <w:pPr>
        <w:widowControl/>
        <w:spacing w:line="500" w:lineRule="exact"/>
        <w:ind w:firstLine="600" w:firstLineChars="200"/>
        <w:rPr>
          <w:sz w:val="30"/>
          <w:szCs w:val="30"/>
        </w:rPr>
      </w:pPr>
      <w:r>
        <w:rPr>
          <w:rFonts w:hint="eastAsia"/>
          <w:sz w:val="30"/>
          <w:szCs w:val="30"/>
          <w:lang w:val="en-US" w:eastAsia="zh-CN"/>
        </w:rPr>
        <w:t>桃源县西安镇人民政府</w:t>
      </w:r>
      <w:r>
        <w:rPr>
          <w:rFonts w:hint="eastAsia"/>
          <w:sz w:val="30"/>
          <w:szCs w:val="30"/>
        </w:rPr>
        <w:t>本级</w:t>
      </w:r>
      <w:r>
        <w:rPr>
          <w:rFonts w:hint="eastAsia"/>
          <w:sz w:val="30"/>
          <w:szCs w:val="30"/>
          <w:lang w:eastAsia="zh-CN"/>
        </w:rPr>
        <w:t>2022</w:t>
      </w:r>
      <w:r>
        <w:rPr>
          <w:rFonts w:hint="eastAsia"/>
          <w:sz w:val="30"/>
          <w:szCs w:val="30"/>
        </w:rPr>
        <w:t>年度一般公共预算财政拨款基本支出年初结转和结余</w:t>
      </w:r>
      <w:r>
        <w:rPr>
          <w:rFonts w:hint="eastAsia"/>
          <w:sz w:val="30"/>
          <w:szCs w:val="30"/>
          <w:lang w:val="en-US" w:eastAsia="zh-CN"/>
        </w:rPr>
        <w:t>140.93</w:t>
      </w:r>
      <w:r>
        <w:rPr>
          <w:rFonts w:hint="eastAsia"/>
          <w:sz w:val="30"/>
          <w:szCs w:val="30"/>
        </w:rPr>
        <w:t>万元，本年收入1322.98万元，本年支出1322.98万元，年末结转和结余</w:t>
      </w:r>
      <w:r>
        <w:rPr>
          <w:sz w:val="30"/>
          <w:szCs w:val="30"/>
        </w:rPr>
        <w:t>0</w:t>
      </w:r>
      <w:r>
        <w:rPr>
          <w:rFonts w:hint="eastAsia"/>
          <w:sz w:val="30"/>
          <w:szCs w:val="30"/>
        </w:rPr>
        <w:t>万元。</w:t>
      </w:r>
    </w:p>
    <w:p>
      <w:pPr>
        <w:widowControl/>
        <w:spacing w:line="500" w:lineRule="exact"/>
        <w:ind w:firstLine="640" w:firstLineChars="200"/>
        <w:rPr>
          <w:rFonts w:eastAsia="楷体_GB2312"/>
          <w:sz w:val="32"/>
          <w:szCs w:val="32"/>
        </w:rPr>
      </w:pPr>
      <w:r>
        <w:rPr>
          <w:rFonts w:hint="eastAsia" w:eastAsia="楷体_GB2312" w:cs="楷体_GB2312"/>
          <w:sz w:val="32"/>
          <w:szCs w:val="32"/>
        </w:rPr>
        <w:t>（二）项目支出情况</w:t>
      </w:r>
    </w:p>
    <w:p>
      <w:pPr>
        <w:widowControl/>
        <w:spacing w:line="500" w:lineRule="exact"/>
        <w:ind w:firstLine="600" w:firstLineChars="200"/>
        <w:rPr>
          <w:sz w:val="30"/>
          <w:szCs w:val="30"/>
        </w:rPr>
      </w:pPr>
      <w:r>
        <w:rPr>
          <w:rFonts w:hint="eastAsia"/>
          <w:sz w:val="30"/>
          <w:szCs w:val="30"/>
          <w:lang w:val="en-US" w:eastAsia="zh-CN"/>
        </w:rPr>
        <w:t>桃源县西安镇人民政府</w:t>
      </w:r>
      <w:r>
        <w:rPr>
          <w:rFonts w:hint="eastAsia"/>
          <w:sz w:val="30"/>
          <w:szCs w:val="30"/>
        </w:rPr>
        <w:t>本级</w:t>
      </w:r>
      <w:r>
        <w:rPr>
          <w:rFonts w:hint="eastAsia"/>
          <w:sz w:val="30"/>
          <w:szCs w:val="30"/>
          <w:lang w:eastAsia="zh-CN"/>
        </w:rPr>
        <w:t>2022</w:t>
      </w:r>
      <w:r>
        <w:rPr>
          <w:rFonts w:hint="eastAsia"/>
          <w:sz w:val="30"/>
          <w:szCs w:val="30"/>
        </w:rPr>
        <w:t>年度一般公共预算财政拨款项目支出年初结转和结余</w:t>
      </w:r>
      <w:r>
        <w:rPr>
          <w:rFonts w:hint="eastAsia"/>
          <w:sz w:val="30"/>
          <w:szCs w:val="30"/>
          <w:lang w:val="en-US" w:eastAsia="zh-CN"/>
        </w:rPr>
        <w:t>15.76</w:t>
      </w:r>
      <w:r>
        <w:rPr>
          <w:rFonts w:hint="eastAsia"/>
          <w:sz w:val="30"/>
          <w:szCs w:val="30"/>
        </w:rPr>
        <w:t>万元，本年收入2060.42万元，本年支出2060.42万元，年末结转和结余</w:t>
      </w:r>
      <w:r>
        <w:rPr>
          <w:rFonts w:hint="eastAsia"/>
          <w:sz w:val="30"/>
          <w:szCs w:val="30"/>
          <w:lang w:val="en-US" w:eastAsia="zh-CN"/>
        </w:rPr>
        <w:t>0</w:t>
      </w:r>
      <w:r>
        <w:rPr>
          <w:rFonts w:hint="eastAsia"/>
          <w:sz w:val="30"/>
          <w:szCs w:val="30"/>
        </w:rPr>
        <w:t>万元。</w:t>
      </w:r>
    </w:p>
    <w:p>
      <w:pPr>
        <w:pStyle w:val="10"/>
        <w:widowControl/>
        <w:spacing w:line="50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三、政府性基金预算支出情况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00" w:firstLineChars="200"/>
        <w:jc w:val="left"/>
        <w:textAlignment w:val="auto"/>
        <w:rPr>
          <w:rFonts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2022年政府性基金预算收入43.2万元,年初结转和结余0万元；支出43.2万元，其中基本支出43.2万元，项目支出0万元；年末结转和结余0万元。</w:t>
      </w:r>
    </w:p>
    <w:p>
      <w:pPr>
        <w:pStyle w:val="10"/>
        <w:widowControl/>
        <w:numPr>
          <w:ilvl w:val="0"/>
          <w:numId w:val="2"/>
        </w:numPr>
        <w:spacing w:line="50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国有资本经营预算支出情况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auto"/>
        <w:rPr>
          <w:rFonts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2022年国有资本经营预算收入0.62万元,年初结转和结余0万元；支出0.62万元，其中基本支出0万元，项目支出0.62万元；年末结转和结余0万元。</w:t>
      </w:r>
    </w:p>
    <w:p>
      <w:pPr>
        <w:pStyle w:val="10"/>
        <w:widowControl/>
        <w:numPr>
          <w:ilvl w:val="0"/>
          <w:numId w:val="2"/>
        </w:numPr>
        <w:spacing w:line="500" w:lineRule="exact"/>
        <w:ind w:firstLine="31680"/>
        <w:jc w:val="left"/>
        <w:rPr>
          <w:rFonts w:ascii="Times New Roman" w:hAnsi="Times New Roman" w:eastAsia="黑体" w:cs="Times New Roman"/>
          <w:sz w:val="32"/>
          <w:szCs w:val="32"/>
        </w:rPr>
      </w:pPr>
      <w:r>
        <w:rPr>
          <w:rFonts w:hint="eastAsia" w:ascii="Times New Roman" w:hAnsi="Times New Roman" w:eastAsia="黑体" w:cs="黑体"/>
          <w:sz w:val="32"/>
          <w:szCs w:val="32"/>
        </w:rPr>
        <w:t>社会保险基金预算支出情况</w:t>
      </w:r>
    </w:p>
    <w:p>
      <w:pPr>
        <w:pStyle w:val="10"/>
        <w:widowControl/>
        <w:spacing w:line="500" w:lineRule="exact"/>
        <w:ind w:left="560" w:leftChars="200" w:firstLine="0" w:firstLineChars="0"/>
        <w:jc w:val="left"/>
        <w:rPr>
          <w:rFonts w:ascii="Times New Roman" w:hAnsi="Times New Roman" w:cs="Times New Roman"/>
          <w:sz w:val="30"/>
          <w:szCs w:val="30"/>
        </w:rPr>
      </w:pPr>
      <w:r>
        <w:rPr>
          <w:rFonts w:ascii="Times New Roman" w:hAnsi="Times New Roman" w:eastAsia="黑体" w:cs="Times New Roman"/>
          <w:sz w:val="32"/>
          <w:szCs w:val="32"/>
        </w:rPr>
        <w:t xml:space="preserve">     </w:t>
      </w:r>
      <w:r>
        <w:rPr>
          <w:rFonts w:hint="eastAsia" w:ascii="Times New Roman" w:hAnsi="Times New Roman" w:cs="仿宋_GB2312"/>
          <w:sz w:val="30"/>
          <w:szCs w:val="30"/>
        </w:rPr>
        <w:t>无</w:t>
      </w:r>
    </w:p>
    <w:p>
      <w:pPr>
        <w:widowControl/>
        <w:spacing w:line="500" w:lineRule="exact"/>
        <w:ind w:firstLine="645"/>
        <w:jc w:val="left"/>
        <w:rPr>
          <w:rFonts w:eastAsia="黑体"/>
          <w:sz w:val="32"/>
          <w:szCs w:val="32"/>
        </w:rPr>
      </w:pPr>
      <w:r>
        <w:rPr>
          <w:rFonts w:hint="eastAsia" w:eastAsia="黑体" w:cs="黑体"/>
          <w:sz w:val="32"/>
          <w:szCs w:val="32"/>
        </w:rPr>
        <w:t>六、部门整体支出绩效情况</w:t>
      </w:r>
    </w:p>
    <w:p>
      <w:pPr>
        <w:widowControl/>
        <w:spacing w:line="500" w:lineRule="exact"/>
        <w:ind w:firstLine="640" w:firstLineChars="200"/>
        <w:rPr>
          <w:rFonts w:eastAsia="楷体_GB2312"/>
          <w:sz w:val="32"/>
          <w:szCs w:val="32"/>
        </w:rPr>
      </w:pPr>
      <w:r>
        <w:rPr>
          <w:rFonts w:hint="eastAsia" w:eastAsia="楷体_GB2312" w:cs="楷体_GB2312"/>
          <w:sz w:val="32"/>
          <w:szCs w:val="32"/>
        </w:rPr>
        <w:t>（一）部门产出指标完成情况</w:t>
      </w:r>
    </w:p>
    <w:p>
      <w:pPr>
        <w:widowControl/>
        <w:spacing w:line="500" w:lineRule="exact"/>
        <w:ind w:firstLine="600" w:firstLineChars="200"/>
        <w:rPr>
          <w:rFonts w:hint="eastAsia"/>
          <w:sz w:val="30"/>
          <w:szCs w:val="30"/>
        </w:rPr>
      </w:pPr>
      <w:r>
        <w:rPr>
          <w:sz w:val="30"/>
          <w:szCs w:val="30"/>
        </w:rPr>
        <w:t>1.</w:t>
      </w:r>
      <w:r>
        <w:rPr>
          <w:rFonts w:hint="eastAsia"/>
          <w:sz w:val="30"/>
          <w:szCs w:val="30"/>
        </w:rPr>
        <w:t>数量指标。</w:t>
      </w:r>
      <w:r>
        <w:rPr>
          <w:rFonts w:hint="eastAsia"/>
          <w:sz w:val="30"/>
          <w:szCs w:val="30"/>
          <w:lang w:eastAsia="zh-CN"/>
        </w:rPr>
        <w:t>全年政府召开每周工作例会</w:t>
      </w:r>
      <w:r>
        <w:rPr>
          <w:rFonts w:hint="eastAsia"/>
          <w:sz w:val="30"/>
          <w:szCs w:val="30"/>
          <w:lang w:val="en-US" w:eastAsia="zh-CN"/>
        </w:rPr>
        <w:t>42次，召开紧急工作调度会13次；全年在县级以上融媒体发表文章20篇以上。</w:t>
      </w:r>
    </w:p>
    <w:p>
      <w:pPr>
        <w:widowControl/>
        <w:spacing w:line="500" w:lineRule="exact"/>
        <w:ind w:firstLine="600" w:firstLineChars="200"/>
        <w:rPr>
          <w:sz w:val="30"/>
          <w:szCs w:val="30"/>
        </w:rPr>
      </w:pPr>
      <w:r>
        <w:rPr>
          <w:sz w:val="30"/>
          <w:szCs w:val="30"/>
        </w:rPr>
        <w:t>2.</w:t>
      </w:r>
      <w:r>
        <w:rPr>
          <w:rFonts w:hint="eastAsia"/>
          <w:sz w:val="30"/>
          <w:szCs w:val="30"/>
        </w:rPr>
        <w:t>质量指标。基础设施工程验收合格率大于95%</w:t>
      </w:r>
      <w:r>
        <w:rPr>
          <w:rFonts w:hint="eastAsia"/>
          <w:sz w:val="30"/>
          <w:szCs w:val="30"/>
          <w:lang w:eastAsia="zh-CN"/>
        </w:rPr>
        <w:t>；农村人居环境整治工作监管到位；乡村振兴和脱贫攻坚成果有保障。</w:t>
      </w:r>
    </w:p>
    <w:p>
      <w:pPr>
        <w:widowControl/>
        <w:spacing w:line="500" w:lineRule="exact"/>
        <w:ind w:firstLine="600" w:firstLineChars="200"/>
        <w:rPr>
          <w:rFonts w:hint="eastAsia"/>
          <w:sz w:val="30"/>
          <w:szCs w:val="30"/>
        </w:rPr>
      </w:pPr>
      <w:r>
        <w:rPr>
          <w:sz w:val="30"/>
          <w:szCs w:val="30"/>
        </w:rPr>
        <w:t>3.</w:t>
      </w:r>
      <w:r>
        <w:rPr>
          <w:rFonts w:hint="eastAsia"/>
          <w:sz w:val="30"/>
          <w:szCs w:val="30"/>
        </w:rPr>
        <w:t>时效指标。惠农补贴等各类指标发放及时</w:t>
      </w:r>
      <w:r>
        <w:rPr>
          <w:rFonts w:hint="eastAsia"/>
          <w:sz w:val="30"/>
          <w:szCs w:val="30"/>
          <w:lang w:eastAsia="zh-CN"/>
        </w:rPr>
        <w:t>；按时拨付村级各项资金。</w:t>
      </w:r>
    </w:p>
    <w:p>
      <w:pPr>
        <w:widowControl/>
        <w:spacing w:line="500" w:lineRule="exact"/>
        <w:ind w:firstLine="600" w:firstLineChars="200"/>
        <w:rPr>
          <w:sz w:val="30"/>
          <w:szCs w:val="30"/>
        </w:rPr>
      </w:pPr>
      <w:r>
        <w:rPr>
          <w:sz w:val="30"/>
          <w:szCs w:val="30"/>
        </w:rPr>
        <w:t>4.</w:t>
      </w:r>
      <w:r>
        <w:rPr>
          <w:rFonts w:hint="eastAsia"/>
          <w:sz w:val="30"/>
          <w:szCs w:val="30"/>
        </w:rPr>
        <w:t>成本指标。严格控制三公经费&lt;7万元</w:t>
      </w:r>
      <w:r>
        <w:rPr>
          <w:rFonts w:hint="eastAsia"/>
          <w:sz w:val="30"/>
          <w:szCs w:val="30"/>
          <w:lang w:eastAsia="zh-CN"/>
        </w:rPr>
        <w:t>。</w:t>
      </w:r>
    </w:p>
    <w:p>
      <w:pPr>
        <w:widowControl/>
        <w:spacing w:line="500" w:lineRule="exact"/>
        <w:ind w:firstLine="640" w:firstLineChars="200"/>
        <w:rPr>
          <w:sz w:val="30"/>
          <w:szCs w:val="30"/>
        </w:rPr>
      </w:pPr>
      <w:r>
        <w:rPr>
          <w:rFonts w:hint="eastAsia" w:eastAsia="楷体_GB2312" w:cs="楷体_GB2312"/>
          <w:sz w:val="32"/>
          <w:szCs w:val="32"/>
        </w:rPr>
        <w:t>（二）部门效益指标完成情况</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1.社会效益指标。深入开展党风廉政建设工作，争创党风廉政建设先进单位；无重大事故无案件发生，及时处置信访事件，争创全县综治考核先进单位；贫困户就业率提升5%；新型农村合作医疗人数参保率达95%。</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2.生态效益指标。加强节能管理，创建节约型机关，改厕完成率&gt;95%。</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3.可持续影响指标。村集体合作社每年稳定向村民分红，村集体经济收入增长率&gt;10%。</w:t>
      </w:r>
    </w:p>
    <w:p>
      <w:pPr>
        <w:widowControl/>
        <w:spacing w:line="500" w:lineRule="exact"/>
        <w:ind w:firstLine="600" w:firstLineChars="200"/>
        <w:rPr>
          <w:rFonts w:hint="eastAsia"/>
          <w:sz w:val="30"/>
          <w:szCs w:val="30"/>
          <w:lang w:val="en-US" w:eastAsia="zh-CN"/>
        </w:rPr>
      </w:pPr>
      <w:r>
        <w:rPr>
          <w:rFonts w:hint="eastAsia"/>
          <w:sz w:val="30"/>
          <w:szCs w:val="30"/>
          <w:lang w:val="en-US" w:eastAsia="zh-CN"/>
        </w:rPr>
        <w:t>4.满意度。干部职工和村干部、群众满意度&gt;95%；社会评价和群众满意度&gt;95%。</w:t>
      </w:r>
    </w:p>
    <w:p>
      <w:pPr>
        <w:widowControl/>
        <w:spacing w:line="500" w:lineRule="exact"/>
        <w:ind w:firstLine="640" w:firstLineChars="200"/>
        <w:jc w:val="left"/>
        <w:rPr>
          <w:rFonts w:eastAsia="黑体"/>
          <w:sz w:val="32"/>
          <w:szCs w:val="32"/>
        </w:rPr>
      </w:pPr>
      <w:r>
        <w:rPr>
          <w:rFonts w:hint="eastAsia" w:eastAsia="黑体" w:cs="黑体"/>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outlineLvl w:val="9"/>
        <w:rPr>
          <w:rFonts w:eastAsia="楷体_GB2312"/>
          <w:sz w:val="32"/>
          <w:szCs w:val="32"/>
        </w:rPr>
      </w:pPr>
      <w:r>
        <w:rPr>
          <w:rFonts w:hint="eastAsia" w:eastAsia="楷体_GB2312" w:cs="楷体_GB2312"/>
          <w:sz w:val="32"/>
          <w:szCs w:val="32"/>
        </w:rPr>
        <w:t>（一）存在的问题</w:t>
      </w:r>
    </w:p>
    <w:p>
      <w:pPr>
        <w:keepNext w:val="0"/>
        <w:keepLines w:val="0"/>
        <w:pageBreakBefore w:val="0"/>
        <w:widowControl/>
        <w:kinsoku/>
        <w:wordWrap/>
        <w:overflowPunct/>
        <w:topLinePunct w:val="0"/>
        <w:autoSpaceDE/>
        <w:autoSpaceDN/>
        <w:bidi w:val="0"/>
        <w:adjustRightInd/>
        <w:snapToGrid/>
        <w:spacing w:line="560" w:lineRule="exact"/>
        <w:ind w:right="0" w:rightChars="0" w:firstLine="645"/>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部门内部预算绩效职责不清，工作安排不到位，财务科室独自完成项目的绩效申报、自评。由于财务科室缺乏专业人员，缺少业务科室的协调配合，承担了本该由业务部门承担的绩效工作，简单地将绩效目标制定、跟踪监控等专业性工作归口于财务人员，没有专人承担绩效管理职责，导致业务管理与绩效管理脱节，弱化了实施预算绩效管理的最基本环节。</w:t>
      </w:r>
    </w:p>
    <w:p>
      <w:pPr>
        <w:keepNext w:val="0"/>
        <w:keepLines w:val="0"/>
        <w:pageBreakBefore w:val="0"/>
        <w:widowControl/>
        <w:kinsoku/>
        <w:wordWrap/>
        <w:overflowPunct/>
        <w:topLinePunct w:val="0"/>
        <w:autoSpaceDE/>
        <w:autoSpaceDN/>
        <w:bidi w:val="0"/>
        <w:adjustRightInd/>
        <w:snapToGrid/>
        <w:spacing w:line="560" w:lineRule="exact"/>
        <w:ind w:right="0" w:rightChars="0" w:firstLine="645"/>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2.绩效管理不到位，对预算单位绩效评价审核不严，预算单位绩效目标存在填报内容不规范、不完整，个性指标设置不够细化、项目资金执行率较低。</w:t>
      </w:r>
      <w:r>
        <w:rPr>
          <w:rFonts w:hint="eastAsia" w:ascii="仿宋_GB2312" w:hAnsi="仿宋_GB2312" w:eastAsia="仿宋_GB2312" w:cs="仿宋_GB2312"/>
          <w:kern w:val="2"/>
          <w:sz w:val="32"/>
          <w:szCs w:val="32"/>
          <w:lang w:val="en-US" w:eastAsia="zh-CN" w:bidi="ar-SA"/>
        </w:rPr>
        <w:t>绩效目标管理有待提质。绩效目标有一定的目标空泛性，质量指标弱化、效益指标软化等问题也难以避免。</w:t>
      </w:r>
    </w:p>
    <w:p>
      <w:pPr>
        <w:keepNext w:val="0"/>
        <w:keepLines w:val="0"/>
        <w:pageBreakBefore w:val="0"/>
        <w:widowControl/>
        <w:kinsoku/>
        <w:wordWrap/>
        <w:overflowPunct/>
        <w:topLinePunct w:val="0"/>
        <w:autoSpaceDE/>
        <w:autoSpaceDN/>
        <w:bidi w:val="0"/>
        <w:adjustRightInd/>
        <w:snapToGrid/>
        <w:spacing w:line="560" w:lineRule="exact"/>
        <w:ind w:right="0" w:rightChars="0" w:firstLine="645"/>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3.绩效评价不全面。如未对政府性基金预算、社保基金、国有资本经营三本预算开展绩效评价，未对政策、制度、管理等方面开展绩效评价。</w:t>
      </w:r>
      <w:r>
        <w:rPr>
          <w:rFonts w:hint="eastAsia" w:ascii="仿宋_GB2312" w:hAnsi="仿宋_GB2312" w:eastAsia="仿宋_GB2312" w:cs="仿宋_GB2312"/>
          <w:sz w:val="32"/>
          <w:szCs w:val="32"/>
          <w:lang w:eastAsia="zh-CN"/>
        </w:rPr>
        <w:t>预算编制不够细化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一笔大类资金只分到单一的款项中，没有具体到哪一类资金，使预决算的细分资金存在一定出入</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adjustRightInd/>
        <w:snapToGrid/>
        <w:spacing w:after="0" w:line="560" w:lineRule="exact"/>
        <w:ind w:right="0" w:rightChars="0" w:firstLine="640" w:firstLineChars="200"/>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评价结果运用不充分，推动作用有局限。广泛运用绩效评价结果既是预算绩效管理的重要环节，也是强化预算绩效管理的重要措施。现阶段，预算绩效评价结果运用很不充分，通过评价结果运用促进强化绩效管理的推动作用不是很明显。绩效管理与年度预算编制结合得不够紧密，绩效评价结果不能更快更多地转化成管理措施。</w:t>
      </w:r>
    </w:p>
    <w:p>
      <w:pPr>
        <w:pStyle w:val="2"/>
        <w:keepNext w:val="0"/>
        <w:keepLines w:val="0"/>
        <w:pageBreakBefore w:val="0"/>
        <w:numPr>
          <w:ilvl w:val="0"/>
          <w:numId w:val="3"/>
        </w:numPr>
        <w:kinsoku/>
        <w:wordWrap/>
        <w:overflowPunct/>
        <w:topLinePunct w:val="0"/>
        <w:autoSpaceDE/>
        <w:autoSpaceDN/>
        <w:bidi w:val="0"/>
        <w:adjustRightInd/>
        <w:snapToGrid/>
        <w:spacing w:after="0" w:line="560" w:lineRule="exact"/>
        <w:ind w:right="0" w:rightChars="0" w:firstLine="640" w:firstLineChars="200"/>
        <w:outlineLvl w:val="9"/>
        <w:rPr>
          <w:rFonts w:eastAsia="楷体_GB2312"/>
        </w:rPr>
      </w:pPr>
      <w:r>
        <w:rPr>
          <w:rFonts w:hint="eastAsia" w:eastAsia="楷体_GB2312" w:cs="楷体_GB2312"/>
        </w:rPr>
        <w:t>原因分析</w:t>
      </w:r>
    </w:p>
    <w:p>
      <w:pPr>
        <w:pStyle w:val="2"/>
        <w:keepNext w:val="0"/>
        <w:keepLines w:val="0"/>
        <w:pageBreakBefore w:val="0"/>
        <w:kinsoku/>
        <w:wordWrap/>
        <w:overflowPunct/>
        <w:topLinePunct w:val="0"/>
        <w:autoSpaceDE/>
        <w:autoSpaceDN/>
        <w:bidi w:val="0"/>
        <w:adjustRightInd/>
        <w:snapToGrid/>
        <w:spacing w:after="0" w:line="560" w:lineRule="exact"/>
        <w:ind w:right="0" w:rightChars="0" w:firstLine="640" w:firstLineChars="200"/>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预算绩效观念不深入，思想认识有误区。预算绩效管理工作整体上还处于起步阶段，经历着从认知到实践的磨合期。对这项管理制度的认知不是十分到位。存在“两轻两重”惯性思维，“重分配、轻管理；重支出、轻绩效”的思想还没有从根本上转变，没有站在全局高度考虑是不是达到了效益最大化，做不到准确科学规范操作，质量难以保证。</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评价指标体系不完善</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实际操作有难度。尽管财政部制定出台了绩效评价共性指标体系</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省级财政也在陆续推出细化的评价指标和落实措施</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但是对指标具体设置没有统一的明确规定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没有针对性较强的个性评价指标体系可供借鉴。县级财政预算支出的范围在逐年扩大、建设发展的投入在逐年增加、新政策新情况时有出现</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已经形成的评价标准不能与之完全匹配。同时</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既有的评价指标存在定性指标多、定量指标少的弊端</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导致出现单位职能不同、支出事项有差别等情况时</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针对性不是很强</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指标难以量化</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评价缺乏依据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直接影响绩效评价的质量。</w:t>
      </w:r>
    </w:p>
    <w:p>
      <w:pPr>
        <w:widowControl/>
        <w:numPr>
          <w:ilvl w:val="0"/>
          <w:numId w:val="4"/>
        </w:numPr>
        <w:spacing w:line="500" w:lineRule="exact"/>
        <w:ind w:firstLine="640" w:firstLineChars="200"/>
        <w:jc w:val="left"/>
        <w:rPr>
          <w:rFonts w:hint="eastAsia" w:eastAsia="黑体" w:cs="黑体"/>
          <w:sz w:val="32"/>
          <w:szCs w:val="32"/>
        </w:rPr>
      </w:pPr>
      <w:r>
        <w:rPr>
          <w:rFonts w:hint="eastAsia" w:eastAsia="黑体" w:cs="黑体"/>
          <w:sz w:val="32"/>
          <w:szCs w:val="32"/>
        </w:rPr>
        <w:t>下一步改进措施</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eastAsia="楷体_GB2312"/>
          <w:sz w:val="32"/>
          <w:szCs w:val="32"/>
        </w:rPr>
      </w:pPr>
      <w:r>
        <w:rPr>
          <w:rFonts w:hint="eastAsia" w:eastAsia="楷体_GB2312" w:cs="楷体_GB2312"/>
          <w:sz w:val="32"/>
          <w:szCs w:val="32"/>
        </w:rPr>
        <w:t>（一）加强宣传引导</w:t>
      </w:r>
      <w:r>
        <w:rPr>
          <w:rFonts w:hint="eastAsia" w:eastAsia="楷体_GB2312" w:cs="楷体_GB2312"/>
          <w:sz w:val="32"/>
          <w:szCs w:val="32"/>
          <w:lang w:eastAsia="zh-CN"/>
        </w:rPr>
        <w:t>，</w:t>
      </w:r>
      <w:r>
        <w:rPr>
          <w:rFonts w:hint="eastAsia" w:eastAsia="楷体_GB2312" w:cs="楷体_GB2312"/>
          <w:sz w:val="32"/>
          <w:szCs w:val="32"/>
        </w:rPr>
        <w:t>强化绩效观念。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在来年编制预算时，加强与</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部门的沟通力度，科学、完整的编制单位预算。一方面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采取召开会议、出台规范性文件、专题培训、分类指导等多种形式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让绩效理念深入人心、让绩效管理人员熟知政策、知行合一。另一方面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要通过专题工作报告、情况通报、工作简报等方式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积极向党政机关和主要领导报告工作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让主要领导及时掌握预算绩效管理的推进情况、实际效果和存在的问题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以利于及时作出决策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支持并帮助解决工作中出现的困难和问题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有效运用绩效评价结果调整管理思路。</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eastAsia="楷体_GB2312"/>
          <w:sz w:val="32"/>
          <w:szCs w:val="32"/>
        </w:rPr>
      </w:pPr>
      <w:r>
        <w:rPr>
          <w:rFonts w:hint="eastAsia" w:eastAsia="楷体_GB2312" w:cs="楷体_GB2312"/>
          <w:sz w:val="32"/>
          <w:szCs w:val="32"/>
        </w:rPr>
        <w:t>（二）完善指标体系</w:t>
      </w:r>
      <w:r>
        <w:rPr>
          <w:rFonts w:hint="eastAsia" w:eastAsia="楷体_GB2312" w:cs="楷体_GB2312"/>
          <w:sz w:val="32"/>
          <w:szCs w:val="32"/>
          <w:lang w:eastAsia="zh-CN"/>
        </w:rPr>
        <w:t>，</w:t>
      </w:r>
      <w:r>
        <w:rPr>
          <w:rFonts w:hint="eastAsia" w:eastAsia="楷体_GB2312" w:cs="楷体_GB2312"/>
          <w:sz w:val="32"/>
          <w:szCs w:val="32"/>
        </w:rPr>
        <w:t>规范评价标准。</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准确把握预算绩效管理的制度规定、深入研究符合区情推进措施、积极探索适用于不同项目的绩效指标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逐步建立涵盖各类各项支出、符合目标内容、突出绩效特色、细化量化、便于考核的统一规范的绩效评价指标体系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以及覆盖全部预算支出结果绩效评价的规范标准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尽快形成“预算编制有目标、预算执行有监控、预算完成有评价、评价结果有反馈、反馈结果有应用”的全过程预算绩效管理机制。</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eastAsia="楷体_GB2312"/>
          <w:sz w:val="32"/>
          <w:szCs w:val="32"/>
        </w:rPr>
      </w:pPr>
      <w:r>
        <w:rPr>
          <w:rFonts w:hint="eastAsia" w:eastAsia="楷体_GB2312" w:cs="楷体_GB2312"/>
          <w:sz w:val="32"/>
          <w:szCs w:val="32"/>
        </w:rPr>
        <w:t>（三）强化运行监管</w:t>
      </w:r>
      <w:r>
        <w:rPr>
          <w:rFonts w:hint="eastAsia" w:eastAsia="楷体_GB2312" w:cs="楷体_GB2312"/>
          <w:sz w:val="32"/>
          <w:szCs w:val="32"/>
          <w:lang w:eastAsia="zh-CN"/>
        </w:rPr>
        <w:t>，</w:t>
      </w:r>
      <w:r>
        <w:rPr>
          <w:rFonts w:hint="eastAsia" w:eastAsia="楷体_GB2312" w:cs="楷体_GB2312"/>
          <w:sz w:val="32"/>
          <w:szCs w:val="32"/>
        </w:rPr>
        <w:t>突出结果导向</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hint="eastAsia" w:cs="仿宋_GB2312"/>
          <w:sz w:val="32"/>
          <w:szCs w:val="32"/>
        </w:rPr>
      </w:pPr>
      <w:r>
        <w:rPr>
          <w:rFonts w:hint="eastAsia" w:ascii="仿宋_GB2312" w:hAnsi="仿宋_GB2312" w:eastAsia="仿宋_GB2312" w:cs="仿宋_GB2312"/>
          <w:sz w:val="32"/>
          <w:szCs w:val="32"/>
        </w:rPr>
        <w:t>在运行监管过程中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切实做好四点。一是确定监控重点。按照“有申报就有监控、有执行就要跟进”的要求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重点对社会关注度高的民生工程、影响地方经济社会发展的基础设施建设工程的推进运行情况进行全过程监督。二是明确监管内容。要把项目的绩效目标实现程度、资金使用、项目实施、项目管理等情况全部纳入监督范围。三是强化整改措施。绩效运行中发现的问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要即知即改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绩效评价时指出的问题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要问责问效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管理机制上存在的问题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要标本兼治。四是突出结果导向。对推进预算绩效管理过程中各个环节的落实措施和实际效果进行评价。</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rPr>
          <w:rFonts w:eastAsia="楷体_GB2312"/>
          <w:sz w:val="32"/>
          <w:szCs w:val="32"/>
        </w:rPr>
      </w:pPr>
      <w:r>
        <w:rPr>
          <w:rFonts w:hint="eastAsia" w:eastAsia="楷体_GB2312" w:cs="楷体_GB2312"/>
          <w:sz w:val="32"/>
          <w:szCs w:val="32"/>
        </w:rPr>
        <w:t>（</w:t>
      </w:r>
      <w:r>
        <w:rPr>
          <w:rFonts w:hint="eastAsia" w:eastAsia="楷体_GB2312" w:cs="楷体_GB2312"/>
          <w:sz w:val="32"/>
          <w:szCs w:val="32"/>
          <w:lang w:eastAsia="zh-CN"/>
        </w:rPr>
        <w:t>四</w:t>
      </w:r>
      <w:r>
        <w:rPr>
          <w:rFonts w:hint="eastAsia" w:eastAsia="楷体_GB2312" w:cs="楷体_GB2312"/>
          <w:sz w:val="32"/>
          <w:szCs w:val="32"/>
        </w:rPr>
        <w:t>）加强队伍建设</w:t>
      </w:r>
      <w:r>
        <w:rPr>
          <w:rFonts w:hint="eastAsia" w:eastAsia="楷体_GB2312" w:cs="楷体_GB2312"/>
          <w:sz w:val="32"/>
          <w:szCs w:val="32"/>
          <w:lang w:eastAsia="zh-CN"/>
        </w:rPr>
        <w:t>，</w:t>
      </w:r>
      <w:r>
        <w:rPr>
          <w:rFonts w:hint="eastAsia" w:eastAsia="楷体_GB2312" w:cs="楷体_GB2312"/>
          <w:sz w:val="32"/>
          <w:szCs w:val="32"/>
        </w:rPr>
        <w:t>提高管理水平。</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outlineLvl w:val="9"/>
      </w:pPr>
      <w:r>
        <w:rPr>
          <w:rFonts w:hint="eastAsia" w:ascii="仿宋_GB2312" w:hAnsi="仿宋_GB2312" w:eastAsia="仿宋_GB2312" w:cs="仿宋_GB2312"/>
          <w:sz w:val="32"/>
          <w:szCs w:val="32"/>
          <w:lang w:eastAsia="zh-CN"/>
        </w:rPr>
        <w:t>针对当前预算绩效管理专业队伍缺乏和管理人员专业技能不强的现状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一方面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政府及财政部门要拓宽引入专业人才参与绩效管理的渠道。强化专业培训、学习考察、工作调研、业务交流等措施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帮助和促进现有人员提高政策理论水平、实际工作能力。另一方面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适时组织单位主要领导、分管负责人以及具体工作人员的培训教育</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促进各预算单位绩效管理整体上台阶。另外</w:t>
      </w:r>
      <w:bookmarkStart w:id="0" w:name="_GoBack"/>
      <w:bookmarkEnd w:id="0"/>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注重做好聘请的专家和社会中介机构的管理工作和技术交流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真正发挥“专家”的专长和权威。</w:t>
      </w:r>
    </w:p>
    <w:p>
      <w:pPr>
        <w:widowControl/>
        <w:spacing w:line="500" w:lineRule="exact"/>
        <w:ind w:firstLine="645"/>
        <w:jc w:val="left"/>
        <w:rPr>
          <w:rFonts w:eastAsia="黑体"/>
          <w:sz w:val="32"/>
          <w:szCs w:val="32"/>
        </w:rPr>
      </w:pPr>
      <w:r>
        <w:rPr>
          <w:rFonts w:hint="eastAsia" w:eastAsia="黑体" w:cs="黑体"/>
          <w:sz w:val="32"/>
          <w:szCs w:val="32"/>
        </w:rPr>
        <w:t>九、部门整体支出绩效自评结果拟应用和公开情况</w:t>
      </w:r>
    </w:p>
    <w:p>
      <w:pPr>
        <w:widowControl/>
        <w:spacing w:line="500" w:lineRule="exact"/>
        <w:ind w:firstLine="600" w:firstLineChars="200"/>
        <w:rPr>
          <w:sz w:val="30"/>
          <w:szCs w:val="30"/>
        </w:rPr>
      </w:pPr>
      <w:r>
        <w:rPr>
          <w:rFonts w:hint="eastAsia"/>
          <w:sz w:val="30"/>
          <w:szCs w:val="30"/>
        </w:rPr>
        <w:t>根据市财政相关部门统一部署，我单位</w:t>
      </w:r>
      <w:r>
        <w:rPr>
          <w:rFonts w:hint="eastAsia"/>
          <w:sz w:val="30"/>
          <w:szCs w:val="30"/>
          <w:lang w:eastAsia="zh-CN"/>
        </w:rPr>
        <w:t>2022</w:t>
      </w:r>
      <w:r>
        <w:rPr>
          <w:rFonts w:hint="eastAsia"/>
          <w:sz w:val="30"/>
          <w:szCs w:val="30"/>
        </w:rPr>
        <w:t>年部门整体支出绩效自评情况将在单位门户网站公开，接受社会监督。对绩效自评工作中发现的问题及时整改，解决好绩效评价管理中存在的问题，提高工作效能。根据部门整体支出绩效评价指标评分标准，</w:t>
      </w:r>
      <w:r>
        <w:rPr>
          <w:rFonts w:hint="eastAsia"/>
          <w:sz w:val="30"/>
          <w:szCs w:val="30"/>
          <w:lang w:eastAsia="zh-CN"/>
        </w:rPr>
        <w:t>2022</w:t>
      </w:r>
      <w:r>
        <w:rPr>
          <w:rFonts w:hint="eastAsia"/>
          <w:sz w:val="30"/>
          <w:szCs w:val="30"/>
        </w:rPr>
        <w:t>年我单位部门整体绩效评价自评分为</w:t>
      </w:r>
      <w:r>
        <w:rPr>
          <w:sz w:val="30"/>
          <w:szCs w:val="30"/>
        </w:rPr>
        <w:t>9</w:t>
      </w:r>
      <w:r>
        <w:rPr>
          <w:rFonts w:hint="eastAsia"/>
          <w:sz w:val="30"/>
          <w:szCs w:val="30"/>
          <w:lang w:val="en-US" w:eastAsia="zh-CN"/>
        </w:rPr>
        <w:t>8</w:t>
      </w:r>
      <w:r>
        <w:rPr>
          <w:rFonts w:hint="eastAsia"/>
          <w:sz w:val="30"/>
          <w:szCs w:val="30"/>
        </w:rPr>
        <w:t>分。</w:t>
      </w:r>
    </w:p>
    <w:p>
      <w:pPr>
        <w:widowControl/>
        <w:spacing w:line="500" w:lineRule="exact"/>
        <w:ind w:firstLine="645"/>
        <w:jc w:val="left"/>
        <w:rPr>
          <w:rFonts w:eastAsia="黑体"/>
          <w:sz w:val="32"/>
          <w:szCs w:val="32"/>
        </w:rPr>
      </w:pPr>
      <w:r>
        <w:rPr>
          <w:rFonts w:hint="eastAsia" w:eastAsia="黑体" w:cs="黑体"/>
          <w:sz w:val="32"/>
          <w:szCs w:val="32"/>
        </w:rPr>
        <w:t>十、其他需要说明的情况</w:t>
      </w:r>
    </w:p>
    <w:p>
      <w:pPr>
        <w:pStyle w:val="2"/>
        <w:spacing w:line="500" w:lineRule="exact"/>
        <w:ind w:firstLine="600"/>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无</w:t>
      </w:r>
    </w:p>
    <w:p>
      <w:pPr>
        <w:pStyle w:val="2"/>
        <w:spacing w:line="500" w:lineRule="exact"/>
        <w:ind w:firstLine="600"/>
        <w:rPr>
          <w:rFonts w:hint="eastAsia" w:ascii="Times New Roman" w:hAnsi="Times New Roman" w:eastAsia="仿宋_GB2312" w:cs="Times New Roman"/>
          <w:kern w:val="2"/>
          <w:sz w:val="30"/>
          <w:szCs w:val="30"/>
          <w:lang w:val="en-US" w:eastAsia="zh-CN" w:bidi="ar-SA"/>
        </w:rPr>
      </w:pPr>
    </w:p>
    <w:p>
      <w:pPr>
        <w:pStyle w:val="2"/>
        <w:spacing w:line="500" w:lineRule="exact"/>
        <w:ind w:firstLine="600"/>
        <w:rPr>
          <w:rFonts w:hint="eastAsia" w:ascii="Times New Roman" w:hAnsi="Times New Roman" w:eastAsia="仿宋_GB2312" w:cs="Times New Roman"/>
          <w:kern w:val="2"/>
          <w:sz w:val="30"/>
          <w:szCs w:val="30"/>
          <w:lang w:val="en-US" w:eastAsia="zh-CN" w:bidi="ar-SA"/>
        </w:rPr>
      </w:pPr>
    </w:p>
    <w:p>
      <w:pPr>
        <w:pStyle w:val="2"/>
        <w:spacing w:line="500" w:lineRule="exact"/>
        <w:rPr>
          <w:rFonts w:hint="eastAsia" w:ascii="Times New Roman" w:hAnsi="Times New Roman" w:eastAsia="仿宋_GB2312" w:cs="Times New Roman"/>
          <w:kern w:val="2"/>
          <w:sz w:val="30"/>
          <w:szCs w:val="30"/>
          <w:lang w:val="en-US" w:eastAsia="zh-CN" w:bidi="ar-SA"/>
        </w:rPr>
      </w:pPr>
    </w:p>
    <w:p>
      <w:pPr>
        <w:widowControl/>
        <w:spacing w:line="500" w:lineRule="exact"/>
        <w:ind w:firstLine="600" w:firstLineChars="200"/>
        <w:rPr>
          <w:rFonts w:hint="eastAsia"/>
          <w:sz w:val="30"/>
          <w:szCs w:val="30"/>
        </w:rPr>
      </w:pPr>
      <w:r>
        <w:rPr>
          <w:rFonts w:hint="eastAsia"/>
          <w:sz w:val="30"/>
          <w:szCs w:val="30"/>
        </w:rPr>
        <w:t>附件：</w:t>
      </w:r>
    </w:p>
    <w:p>
      <w:pPr>
        <w:widowControl/>
        <w:spacing w:line="500" w:lineRule="exact"/>
        <w:ind w:firstLine="600" w:firstLineChars="200"/>
        <w:rPr>
          <w:rFonts w:hint="eastAsia"/>
          <w:sz w:val="30"/>
          <w:szCs w:val="30"/>
        </w:rPr>
      </w:pPr>
      <w:r>
        <w:rPr>
          <w:rFonts w:hint="eastAsia"/>
          <w:sz w:val="30"/>
          <w:szCs w:val="30"/>
        </w:rPr>
        <w:t>1.部门整体支出绩效评价基础数据表</w:t>
      </w:r>
    </w:p>
    <w:p>
      <w:pPr>
        <w:widowControl/>
        <w:spacing w:line="500" w:lineRule="exact"/>
        <w:ind w:firstLine="600" w:firstLineChars="200"/>
        <w:rPr>
          <w:rFonts w:hint="eastAsia"/>
          <w:sz w:val="30"/>
          <w:szCs w:val="30"/>
        </w:rPr>
      </w:pPr>
      <w:r>
        <w:rPr>
          <w:rFonts w:hint="eastAsia"/>
          <w:sz w:val="30"/>
          <w:szCs w:val="30"/>
        </w:rPr>
        <w:t>2.部门整体支出绩效自评表</w:t>
      </w:r>
    </w:p>
    <w:p>
      <w:pPr>
        <w:widowControl/>
        <w:spacing w:line="500" w:lineRule="exact"/>
        <w:ind w:firstLine="600" w:firstLineChars="200"/>
        <w:rPr>
          <w:rFonts w:eastAsia="仿宋_GB2312"/>
          <w:sz w:val="30"/>
          <w:szCs w:val="30"/>
        </w:rPr>
      </w:pPr>
      <w:r>
        <w:rPr>
          <w:rFonts w:hint="eastAsia"/>
          <w:sz w:val="30"/>
          <w:szCs w:val="30"/>
        </w:rPr>
        <w:t>3.项目支出绩效自评表</w:t>
      </w:r>
    </w:p>
    <w:p>
      <w:pPr>
        <w:widowControl/>
        <w:spacing w:line="500" w:lineRule="exact"/>
        <w:ind w:firstLine="3900" w:firstLineChars="1300"/>
        <w:jc w:val="right"/>
        <w:rPr>
          <w:rFonts w:hint="eastAsia"/>
          <w:sz w:val="30"/>
          <w:szCs w:val="30"/>
          <w:lang w:eastAsia="zh-CN"/>
        </w:rPr>
      </w:pPr>
      <w:r>
        <w:rPr>
          <w:rFonts w:hint="eastAsia"/>
          <w:sz w:val="30"/>
          <w:szCs w:val="30"/>
          <w:lang w:eastAsia="zh-CN"/>
        </w:rPr>
        <w:t>桃源县西安镇人民政府</w:t>
      </w:r>
    </w:p>
    <w:p>
      <w:pPr>
        <w:widowControl/>
        <w:spacing w:line="500" w:lineRule="exact"/>
        <w:ind w:firstLine="600" w:firstLineChars="200"/>
        <w:jc w:val="right"/>
        <w:rPr>
          <w:rFonts w:hint="eastAsia"/>
          <w:sz w:val="30"/>
          <w:szCs w:val="30"/>
        </w:rPr>
      </w:pPr>
      <w:r>
        <w:rPr>
          <w:rFonts w:hint="eastAsia"/>
          <w:sz w:val="30"/>
          <w:szCs w:val="30"/>
        </w:rPr>
        <w:t>202</w:t>
      </w:r>
      <w:r>
        <w:rPr>
          <w:rFonts w:hint="eastAsia"/>
          <w:sz w:val="30"/>
          <w:szCs w:val="30"/>
          <w:lang w:val="en-US" w:eastAsia="zh-CN"/>
        </w:rPr>
        <w:t>3</w:t>
      </w:r>
      <w:r>
        <w:rPr>
          <w:rFonts w:hint="eastAsia"/>
          <w:sz w:val="30"/>
          <w:szCs w:val="30"/>
        </w:rPr>
        <w:t>年</w:t>
      </w:r>
      <w:r>
        <w:rPr>
          <w:rFonts w:hint="eastAsia"/>
          <w:sz w:val="30"/>
          <w:szCs w:val="30"/>
          <w:lang w:val="en-US" w:eastAsia="zh-CN"/>
        </w:rPr>
        <w:t>9</w:t>
      </w:r>
      <w:r>
        <w:rPr>
          <w:rFonts w:hint="eastAsia"/>
          <w:sz w:val="30"/>
          <w:szCs w:val="30"/>
        </w:rPr>
        <w:t>月2</w:t>
      </w:r>
      <w:r>
        <w:rPr>
          <w:rFonts w:hint="eastAsia"/>
          <w:sz w:val="30"/>
          <w:szCs w:val="30"/>
          <w:lang w:val="en-US" w:eastAsia="zh-CN"/>
        </w:rPr>
        <w:t>7</w:t>
      </w:r>
      <w:r>
        <w:rPr>
          <w:rFonts w:hint="eastAsia"/>
          <w:sz w:val="30"/>
          <w:szCs w:val="30"/>
        </w:rPr>
        <w:t>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2DD9B"/>
    <w:multiLevelType w:val="singleLevel"/>
    <w:tmpl w:val="D382DD9B"/>
    <w:lvl w:ilvl="0" w:tentative="0">
      <w:start w:val="2"/>
      <w:numFmt w:val="chineseCounting"/>
      <w:suff w:val="nothing"/>
      <w:lvlText w:val="（%1）"/>
      <w:lvlJc w:val="left"/>
      <w:rPr>
        <w:rFonts w:hint="eastAsia"/>
      </w:rPr>
    </w:lvl>
  </w:abstractNum>
  <w:abstractNum w:abstractNumId="1">
    <w:nsid w:val="E77E36D8"/>
    <w:multiLevelType w:val="singleLevel"/>
    <w:tmpl w:val="E77E36D8"/>
    <w:lvl w:ilvl="0" w:tentative="0">
      <w:start w:val="4"/>
      <w:numFmt w:val="chineseCounting"/>
      <w:suff w:val="nothing"/>
      <w:lvlText w:val="%1、"/>
      <w:lvlJc w:val="left"/>
      <w:rPr>
        <w:rFonts w:hint="eastAsia"/>
      </w:rPr>
    </w:lvl>
  </w:abstractNum>
  <w:abstractNum w:abstractNumId="2">
    <w:nsid w:val="65712BB4"/>
    <w:multiLevelType w:val="singleLevel"/>
    <w:tmpl w:val="65712BB4"/>
    <w:lvl w:ilvl="0" w:tentative="0">
      <w:start w:val="2"/>
      <w:numFmt w:val="decimal"/>
      <w:suff w:val="nothing"/>
      <w:lvlText w:val="（%1）"/>
      <w:lvlJc w:val="left"/>
    </w:lvl>
  </w:abstractNum>
  <w:abstractNum w:abstractNumId="3">
    <w:nsid w:val="65713D11"/>
    <w:multiLevelType w:val="singleLevel"/>
    <w:tmpl w:val="65713D11"/>
    <w:lvl w:ilvl="0" w:tentative="0">
      <w:start w:val="8"/>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MTQ3YjNhNzYwMWY1NDkxNWM3Zjk4ZDg1NjBmYjMifQ=="/>
  </w:docVars>
  <w:rsids>
    <w:rsidRoot w:val="56EF5220"/>
    <w:rsid w:val="048245B0"/>
    <w:rsid w:val="0B2D55B5"/>
    <w:rsid w:val="12E5577F"/>
    <w:rsid w:val="302F29D6"/>
    <w:rsid w:val="3AE5508A"/>
    <w:rsid w:val="3E963E73"/>
    <w:rsid w:val="56EF5220"/>
    <w:rsid w:val="733A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99"/>
    <w:pPr>
      <w:spacing w:after="120"/>
      <w:textAlignment w:val="baseline"/>
    </w:pPr>
    <w:rPr>
      <w:rFonts w:eastAsia="宋体"/>
      <w:sz w:val="32"/>
      <w:szCs w:val="32"/>
    </w:rPr>
  </w:style>
  <w:style w:type="paragraph" w:styleId="3">
    <w:name w:val="Body Text Indent"/>
    <w:basedOn w:val="1"/>
    <w:uiPriority w:val="0"/>
    <w:pPr>
      <w:spacing w:after="12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uiPriority w:val="0"/>
    <w:pPr>
      <w:ind w:firstLine="420" w:firstLineChars="200"/>
    </w:pPr>
  </w:style>
  <w:style w:type="character" w:styleId="9">
    <w:name w:val="page number"/>
    <w:basedOn w:val="8"/>
    <w:qFormat/>
    <w:uiPriority w:val="0"/>
  </w:style>
  <w:style w:type="paragraph" w:customStyle="1" w:styleId="10">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2023-09-27T01:19:00Z</dcterms:created>
  <dc:creator>Administrator</dc:creator>
  <cp:lastModifiedBy>Administrator</cp:lastModifiedBy>
  <dcterms:modified xsi:type="dcterms:W3CDTF">2023-12-08T07:44:50Z</dcterms:modified>
  <dc:title>2022年度桃源县西安镇人民政府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843313F75E284E3A9D3DE4277BA533B0_12</vt:lpwstr>
  </property>
</Properties>
</file>