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E20" w:rsidRDefault="00E86E20">
      <w:pPr>
        <w:spacing w:line="560" w:lineRule="exact"/>
        <w:jc w:val="center"/>
        <w:rPr>
          <w:rFonts w:eastAsia="黑体"/>
          <w:sz w:val="24"/>
          <w:szCs w:val="24"/>
        </w:rPr>
      </w:pPr>
    </w:p>
    <w:p w:rsidR="00E86E20" w:rsidRDefault="00E86E20">
      <w:pPr>
        <w:spacing w:line="560" w:lineRule="exact"/>
        <w:jc w:val="center"/>
        <w:rPr>
          <w:rFonts w:eastAsia="黑体"/>
          <w:kern w:val="0"/>
          <w:sz w:val="32"/>
          <w:szCs w:val="32"/>
        </w:rPr>
      </w:pPr>
      <w:r>
        <w:rPr>
          <w:rFonts w:eastAsia="方正小标宋_GBK"/>
          <w:sz w:val="36"/>
          <w:szCs w:val="36"/>
        </w:rPr>
        <w:t>2022</w:t>
      </w:r>
      <w:r>
        <w:rPr>
          <w:rFonts w:eastAsia="方正小标宋_GBK" w:cs="方正小标宋_GBK" w:hint="eastAsia"/>
          <w:sz w:val="36"/>
          <w:szCs w:val="36"/>
        </w:rPr>
        <w:t>年度</w:t>
      </w:r>
      <w:r>
        <w:rPr>
          <w:rFonts w:eastAsia="方正小标宋_GBK" w:cs="方正小标宋_GBK" w:hint="eastAsia"/>
          <w:kern w:val="0"/>
          <w:sz w:val="36"/>
          <w:szCs w:val="36"/>
        </w:rPr>
        <w:t>部门整体支出绩效评价基础数据表</w:t>
      </w:r>
    </w:p>
    <w:p w:rsidR="00E86E20" w:rsidRDefault="00E86E20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kern w:val="0"/>
          <w:sz w:val="24"/>
          <w:szCs w:val="24"/>
        </w:rPr>
      </w:pPr>
      <w:r>
        <w:rPr>
          <w:rFonts w:eastAsia="仿宋" w:cs="仿宋" w:hint="eastAsia"/>
          <w:kern w:val="0"/>
          <w:sz w:val="24"/>
          <w:szCs w:val="24"/>
        </w:rPr>
        <w:t>填报单位：桃源县牛车河镇人民政府</w:t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</w:p>
    <w:tbl>
      <w:tblPr>
        <w:tblW w:w="9119" w:type="dxa"/>
        <w:jc w:val="center"/>
        <w:tblLayout w:type="fixed"/>
        <w:tblLook w:val="00A0"/>
      </w:tblPr>
      <w:tblGrid>
        <w:gridCol w:w="3322"/>
        <w:gridCol w:w="1106"/>
        <w:gridCol w:w="750"/>
        <w:gridCol w:w="934"/>
        <w:gridCol w:w="1050"/>
        <w:gridCol w:w="1009"/>
        <w:gridCol w:w="948"/>
      </w:tblGrid>
      <w:tr w:rsidR="00E86E20">
        <w:trPr>
          <w:trHeight w:val="417"/>
          <w:jc w:val="center"/>
        </w:trPr>
        <w:tc>
          <w:tcPr>
            <w:tcW w:w="3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财政供养人员情况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编制数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2022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年实际</w:t>
            </w:r>
          </w:p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在职人数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控制率</w:t>
            </w:r>
          </w:p>
        </w:tc>
      </w:tr>
      <w:tr w:rsidR="00E86E20">
        <w:trPr>
          <w:trHeight w:val="526"/>
          <w:jc w:val="center"/>
        </w:trPr>
        <w:tc>
          <w:tcPr>
            <w:tcW w:w="3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63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63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eastAsia="仿宋"/>
                <w:kern w:val="0"/>
                <w:sz w:val="24"/>
                <w:szCs w:val="24"/>
              </w:rPr>
              <w:t>100%</w:t>
            </w:r>
          </w:p>
        </w:tc>
      </w:tr>
      <w:tr w:rsidR="00E86E20">
        <w:trPr>
          <w:trHeight w:val="160"/>
          <w:jc w:val="center"/>
        </w:trPr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E86E20">
        <w:trPr>
          <w:trHeight w:val="371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cs="黑体" w:hint="eastAsia"/>
                <w:kern w:val="0"/>
                <w:sz w:val="24"/>
                <w:szCs w:val="24"/>
              </w:rPr>
              <w:t>经费控制情况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2021</w:t>
            </w:r>
            <w:r>
              <w:rPr>
                <w:rFonts w:eastAsia="黑体" w:cs="黑体" w:hint="eastAsia"/>
                <w:kern w:val="0"/>
                <w:sz w:val="24"/>
                <w:szCs w:val="24"/>
              </w:rPr>
              <w:t>年决算数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2022</w:t>
            </w:r>
            <w:r>
              <w:rPr>
                <w:rFonts w:eastAsia="黑体" w:cs="黑体" w:hint="eastAsia"/>
                <w:kern w:val="0"/>
                <w:sz w:val="24"/>
                <w:szCs w:val="24"/>
              </w:rPr>
              <w:t>年预算数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2022</w:t>
            </w:r>
            <w:r>
              <w:rPr>
                <w:rFonts w:eastAsia="黑体" w:cs="黑体" w:hint="eastAsia"/>
                <w:kern w:val="0"/>
                <w:sz w:val="24"/>
                <w:szCs w:val="24"/>
              </w:rPr>
              <w:t>年决算数</w:t>
            </w:r>
          </w:p>
        </w:tc>
      </w:tr>
      <w:tr w:rsidR="00E86E20">
        <w:trPr>
          <w:trHeight w:val="371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  <w:szCs w:val="24"/>
              </w:rPr>
              <w:t>三公经费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10.28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13.57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10.27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86E20">
        <w:trPr>
          <w:trHeight w:val="39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1.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公务用车购置和维护经费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4.77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0.57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4.77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86E20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其中：公车购置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86E20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公车运行维护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4.77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0.57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4.77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86E20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2.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出国经费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86E20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3.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公务接待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eastAsia="仿宋"/>
                <w:kern w:val="0"/>
                <w:sz w:val="24"/>
                <w:szCs w:val="24"/>
              </w:rPr>
              <w:t>5.51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13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5.5</w:t>
            </w:r>
          </w:p>
        </w:tc>
      </w:tr>
      <w:tr w:rsidR="00E86E20">
        <w:trPr>
          <w:trHeight w:val="39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eastAsia="仿宋"/>
                <w:kern w:val="0"/>
                <w:sz w:val="24"/>
                <w:szCs w:val="24"/>
              </w:rPr>
              <w:t>994.93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1879.45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538.93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86E20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1.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特定目标类项目支出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eastAsia="仿宋"/>
                <w:kern w:val="0"/>
                <w:sz w:val="24"/>
                <w:szCs w:val="24"/>
              </w:rPr>
              <w:t>994.93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1200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538.93</w:t>
            </w:r>
          </w:p>
        </w:tc>
      </w:tr>
      <w:tr w:rsidR="00E86E20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2.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其他运转类项目支出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679.45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86E20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  <w:szCs w:val="24"/>
              </w:rPr>
              <w:t>公用经费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321.65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137.86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1296.88</w:t>
            </w:r>
          </w:p>
        </w:tc>
      </w:tr>
      <w:tr w:rsidR="00E86E20">
        <w:trPr>
          <w:trHeight w:val="39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1.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38.19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17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428.27</w:t>
            </w:r>
          </w:p>
        </w:tc>
      </w:tr>
      <w:tr w:rsidR="00E86E20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2.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水电费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5.04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17.5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39.43</w:t>
            </w:r>
          </w:p>
        </w:tc>
      </w:tr>
      <w:tr w:rsidR="00E86E20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3.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15.41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22.38</w:t>
            </w:r>
          </w:p>
        </w:tc>
      </w:tr>
      <w:tr w:rsidR="00E86E20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4.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21.41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8.5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13</w:t>
            </w:r>
          </w:p>
        </w:tc>
      </w:tr>
      <w:tr w:rsidR="00E86E20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5.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物业管理费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3</w:t>
            </w:r>
          </w:p>
        </w:tc>
      </w:tr>
      <w:tr w:rsidR="00E86E20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 w:rsidP="00E86E20">
            <w:pPr>
              <w:widowControl/>
              <w:ind w:firstLineChars="200" w:firstLine="3168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6.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241.6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79.86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790.8</w:t>
            </w:r>
          </w:p>
        </w:tc>
      </w:tr>
      <w:tr w:rsidR="00E86E20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  <w:szCs w:val="24"/>
              </w:rPr>
              <w:t>政府采购金额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86E20">
        <w:trPr>
          <w:trHeight w:val="371"/>
          <w:jc w:val="center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  <w:szCs w:val="24"/>
              </w:rPr>
              <w:t>部门整体支出预算调整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86E20">
        <w:trPr>
          <w:trHeight w:val="1154"/>
          <w:jc w:val="center"/>
        </w:trPr>
        <w:tc>
          <w:tcPr>
            <w:tcW w:w="3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  <w:szCs w:val="24"/>
              </w:rPr>
              <w:t>楼堂馆所控制情况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br/>
            </w:r>
            <w:r>
              <w:rPr>
                <w:rFonts w:eastAsia="仿宋" w:cs="仿宋" w:hint="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2022</w:t>
            </w:r>
            <w:r>
              <w:rPr>
                <w:rFonts w:eastAsia="仿宋" w:cs="仿宋" w:hint="eastAsia"/>
                <w:b/>
                <w:bCs/>
                <w:kern w:val="0"/>
                <w:sz w:val="24"/>
                <w:szCs w:val="24"/>
              </w:rPr>
              <w:t>年完工项目）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批复</w:t>
            </w:r>
          </w:p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规模</w:t>
            </w:r>
            <w:r>
              <w:rPr>
                <w:rFonts w:eastAsia="仿宋"/>
                <w:kern w:val="0"/>
                <w:sz w:val="24"/>
                <w:szCs w:val="24"/>
              </w:rPr>
              <w:br/>
              <w:t>(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㎡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实际规模</w:t>
            </w: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㎡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规模</w:t>
            </w:r>
          </w:p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控制率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预算</w:t>
            </w:r>
          </w:p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投资</w:t>
            </w:r>
          </w:p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万元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实际</w:t>
            </w:r>
          </w:p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投资</w:t>
            </w:r>
          </w:p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eastAsia="仿宋" w:cs="仿宋" w:hint="eastAsia"/>
                <w:kern w:val="0"/>
                <w:sz w:val="24"/>
                <w:szCs w:val="24"/>
              </w:rPr>
              <w:t>万元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投资</w:t>
            </w:r>
          </w:p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概算</w:t>
            </w:r>
          </w:p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控制率</w:t>
            </w:r>
          </w:p>
        </w:tc>
      </w:tr>
      <w:tr w:rsidR="00E86E20">
        <w:trPr>
          <w:trHeight w:val="177"/>
          <w:jc w:val="center"/>
        </w:trPr>
        <w:tc>
          <w:tcPr>
            <w:tcW w:w="3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86E20">
        <w:trPr>
          <w:trHeight w:val="665"/>
          <w:jc w:val="center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E20" w:rsidRDefault="00E86E20"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  <w:szCs w:val="24"/>
              </w:rPr>
              <w:t>厉行节约保障措施</w:t>
            </w:r>
          </w:p>
        </w:tc>
        <w:tc>
          <w:tcPr>
            <w:tcW w:w="5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6E20" w:rsidRDefault="00E86E20"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 w:cs="仿宋" w:hint="eastAsia"/>
                <w:kern w:val="0"/>
                <w:sz w:val="24"/>
                <w:szCs w:val="24"/>
              </w:rPr>
              <w:t>机关制定了严格的办公用品领用，采购制度，会议、接待审批制度、经费支出管理制度，并有专门的督导与审查机构，确保各项制度落实到位。</w:t>
            </w:r>
          </w:p>
        </w:tc>
      </w:tr>
    </w:tbl>
    <w:p w:rsidR="00E86E20" w:rsidRDefault="00E86E20" w:rsidP="00E86E20">
      <w:pPr>
        <w:widowControl/>
        <w:ind w:firstLineChars="200" w:firstLine="31680"/>
        <w:jc w:val="left"/>
        <w:rPr>
          <w:rFonts w:ascii="仿宋" w:eastAsia="仿宋" w:hAnsi="仿宋"/>
          <w:sz w:val="22"/>
          <w:szCs w:val="22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说明：</w:t>
      </w:r>
      <w:r>
        <w:rPr>
          <w:rFonts w:ascii="仿宋" w:eastAsia="仿宋" w:hAnsi="仿宋" w:cs="仿宋" w:hint="eastAsia"/>
          <w:sz w:val="22"/>
          <w:szCs w:val="22"/>
        </w:rPr>
        <w:t>“项目支出”需要填报基本支出以外的所有项目支出情况，“公用经费”填报基本支出中的一般商品和服务支出。</w:t>
      </w:r>
    </w:p>
    <w:p w:rsidR="00E86E20" w:rsidRDefault="00E86E20" w:rsidP="00034137">
      <w:pPr>
        <w:widowControl/>
        <w:ind w:firstLineChars="200" w:firstLine="31680"/>
        <w:jc w:val="left"/>
        <w:rPr>
          <w:rFonts w:ascii="仿宋" w:eastAsia="仿宋" w:hAnsi="仿宋"/>
          <w:sz w:val="22"/>
          <w:szCs w:val="22"/>
        </w:rPr>
      </w:pPr>
    </w:p>
    <w:p w:rsidR="00E86E20" w:rsidRDefault="00E86E20">
      <w:pPr>
        <w:rPr>
          <w:rFonts w:ascii="仿宋" w:eastAsia="仿宋" w:hAnsi="仿宋"/>
        </w:rPr>
      </w:pPr>
      <w:r>
        <w:rPr>
          <w:rFonts w:ascii="仿宋" w:eastAsia="仿宋" w:hAnsi="仿宋" w:cs="仿宋" w:hint="eastAsia"/>
          <w:sz w:val="22"/>
          <w:szCs w:val="22"/>
        </w:rPr>
        <w:t>填表人：段又菀</w:t>
      </w:r>
      <w:r>
        <w:rPr>
          <w:rFonts w:ascii="仿宋" w:eastAsia="仿宋" w:hAnsi="仿宋" w:cs="仿宋"/>
          <w:sz w:val="22"/>
          <w:szCs w:val="22"/>
        </w:rPr>
        <w:t xml:space="preserve">  </w:t>
      </w:r>
      <w:r>
        <w:rPr>
          <w:rFonts w:ascii="仿宋" w:eastAsia="仿宋" w:hAnsi="仿宋" w:cs="仿宋" w:hint="eastAsia"/>
          <w:sz w:val="22"/>
          <w:szCs w:val="22"/>
        </w:rPr>
        <w:t>填报日期：</w:t>
      </w:r>
      <w:r>
        <w:rPr>
          <w:rFonts w:ascii="仿宋" w:eastAsia="仿宋" w:hAnsi="仿宋" w:cs="仿宋"/>
          <w:sz w:val="22"/>
          <w:szCs w:val="22"/>
        </w:rPr>
        <w:t xml:space="preserve">2023.9.26  </w:t>
      </w:r>
      <w:r>
        <w:rPr>
          <w:rFonts w:ascii="仿宋" w:eastAsia="仿宋" w:hAnsi="仿宋" w:cs="仿宋" w:hint="eastAsia"/>
          <w:sz w:val="22"/>
          <w:szCs w:val="22"/>
        </w:rPr>
        <w:t>联系电话：</w:t>
      </w:r>
      <w:r>
        <w:rPr>
          <w:rFonts w:ascii="仿宋" w:eastAsia="仿宋" w:hAnsi="仿宋" w:cs="仿宋"/>
          <w:sz w:val="22"/>
          <w:szCs w:val="22"/>
        </w:rPr>
        <w:t xml:space="preserve">15717509275  </w:t>
      </w:r>
      <w:r>
        <w:rPr>
          <w:rFonts w:ascii="仿宋" w:eastAsia="仿宋" w:hAnsi="仿宋" w:cs="仿宋" w:hint="eastAsia"/>
          <w:sz w:val="22"/>
          <w:szCs w:val="22"/>
        </w:rPr>
        <w:t>单位负责人签字：杨洋</w:t>
      </w:r>
    </w:p>
    <w:sectPr w:rsidR="00E86E20" w:rsidSect="002C2EC3">
      <w:pgSz w:w="11906" w:h="16838"/>
      <w:pgMar w:top="1134" w:right="1531" w:bottom="1134" w:left="153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TFlNmI4Y2FkM2MxMzg1ZGQwOWFhNGZlMzhkNjg0ZGMifQ=="/>
  </w:docVars>
  <w:rsids>
    <w:rsidRoot w:val="D7F5C6E8"/>
    <w:rsid w:val="BC7F376B"/>
    <w:rsid w:val="BD99CCA4"/>
    <w:rsid w:val="D7F5C6E8"/>
    <w:rsid w:val="D9FDC5E8"/>
    <w:rsid w:val="DFFB5E45"/>
    <w:rsid w:val="EFD7CA7B"/>
    <w:rsid w:val="FEBBF0B3"/>
    <w:rsid w:val="FF7A0ABB"/>
    <w:rsid w:val="00034137"/>
    <w:rsid w:val="0024781C"/>
    <w:rsid w:val="002C2EC3"/>
    <w:rsid w:val="00346BB9"/>
    <w:rsid w:val="004814E2"/>
    <w:rsid w:val="00750E21"/>
    <w:rsid w:val="00866BCD"/>
    <w:rsid w:val="00A36730"/>
    <w:rsid w:val="00A61DDD"/>
    <w:rsid w:val="00BF7974"/>
    <w:rsid w:val="00CC7A61"/>
    <w:rsid w:val="00DB2FBB"/>
    <w:rsid w:val="00DF50BE"/>
    <w:rsid w:val="00E1014D"/>
    <w:rsid w:val="00E86E20"/>
    <w:rsid w:val="01C5176E"/>
    <w:rsid w:val="038B5AE4"/>
    <w:rsid w:val="3EFB7454"/>
    <w:rsid w:val="6CE51EC7"/>
    <w:rsid w:val="7775FA65"/>
    <w:rsid w:val="77F9BEA8"/>
    <w:rsid w:val="7BFD0767"/>
    <w:rsid w:val="7DB7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EC3"/>
    <w:pPr>
      <w:widowControl w:val="0"/>
      <w:jc w:val="both"/>
    </w:pPr>
    <w:rPr>
      <w:rFonts w:ascii="Times New Roman" w:eastAsia="仿宋_GB2312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C2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2EC3"/>
    <w:rPr>
      <w:rFonts w:ascii="Times New Roman" w:eastAsia="仿宋_GB2312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C2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C2EC3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2C2EC3"/>
    <w:pPr>
      <w:ind w:firstLineChars="200" w:firstLine="42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130</Words>
  <Characters>742</Characters>
  <Application>Microsoft Office Outlook</Application>
  <DocSecurity>0</DocSecurity>
  <Lines>0</Lines>
  <Paragraphs>0</Paragraphs>
  <ScaleCrop>false</ScaleCrop>
  <Company>天晟网络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2022年度部门整体支出绩效评价基础数据表</dc:title>
  <dc:subject/>
  <dc:creator>greatwall</dc:creator>
  <cp:keywords/>
  <dc:description/>
  <cp:lastModifiedBy>Windows 用户</cp:lastModifiedBy>
  <cp:revision>2</cp:revision>
  <cp:lastPrinted>2022-06-30T07:21:00Z</cp:lastPrinted>
  <dcterms:created xsi:type="dcterms:W3CDTF">2023-09-26T07:55:00Z</dcterms:created>
  <dcterms:modified xsi:type="dcterms:W3CDTF">2023-09-26T07:55:00Z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3C433BC100D348DC933328748487CBB9</vt:lpwstr>
  </property>
</Properties>
</file>