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spacing w:val="-10"/>
          <w:kern w:val="0"/>
          <w:sz w:val="44"/>
          <w:szCs w:val="44"/>
        </w:rPr>
      </w:pPr>
      <w:r>
        <w:rPr>
          <w:rFonts w:ascii="宋体" w:hAnsi="宋体" w:cs="宋体"/>
          <w:b/>
          <w:bCs/>
          <w:spacing w:val="-1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  <w:lang w:val="en-US" w:eastAsia="zh-CN"/>
        </w:rPr>
        <w:t>桃源县观音寺镇人民政府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整体支出绩效自评报告</w:t>
      </w:r>
    </w:p>
    <w:p>
      <w:pPr>
        <w:widowControl/>
        <w:spacing w:line="600" w:lineRule="exact"/>
        <w:ind w:firstLine="641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00" w:lineRule="exact"/>
        <w:ind w:firstLine="641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一、部门概况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（一）机构、人员构成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桃源县观音寺镇人民政府内设机构包括：行政机构 1个（政府机关）、事业机构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个（财政所、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农业综合服务中心、政务服务中心、社会事务综合服务中心、综合行政执法大队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截至202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年12月31日，桃源县观音寺镇人民政府编制人数8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人，较上年度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减少2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人，年末实有人数7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人，较上年度增加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人。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（二）单位主要职责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制定和组织实施经济、科技和社会发展计划，制定资源开发技术改造和产业结构调整方案，组织指导好各业生产，搞好商品流通，协调好本乡与外地区的经济交流与合作，组织经济运行，促进经济发展。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制定并组织实施乡村建设规划，部署重点工程建设，地方道路建设及公共设施，水利设施的管理，负责土地、林木、水等自然资源和生态环境的保护，做好护林防护工作。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负责本行政区域内的民政、计划生育、文化教育、卫生、体育等社会公益事业的综合性工作，维护一切经济单位和个人的正当经济权益，取缔非法经济活动，调解和处理民事经济纠纷，打击刑事犯罪维护社会稳定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抓好精神文明建设，丰富群众文化生活，提倡移风易俗，反对封建迷信，破除陈规陋习，树立社会主义新风尚。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完成上级政府交办的其他事项。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二、部门财务情况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（一）部门整体支出情况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2022年度支出合计3623.92万元，其中：基本支出2005.72万元，占55.35%；项目支出1618.20万元，占44.65%；上缴上级支出0万元，占0.00%；经营支出0万元，占0.00%；对附属单位补助支出0万元，占0.00%。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部门预算收支决算情况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年度财政拨款支出年初预算数为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2756.90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万元，财政拨款支出决算数为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3523.38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万元，完成年初预算的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127.80</w:t>
      </w:r>
      <w:r>
        <w:rPr>
          <w:rFonts w:hint="eastAsia" w:ascii="仿宋" w:hAnsi="仿宋" w:eastAsia="仿宋" w:cs="仿宋"/>
          <w:kern w:val="0"/>
          <w:sz w:val="28"/>
          <w:szCs w:val="28"/>
        </w:rPr>
        <w:t>%，其中：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一般公共服务支出（类）人大事务（款）代表工作（项）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1.24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大</w:t>
      </w:r>
      <w:r>
        <w:rPr>
          <w:rFonts w:hint="eastAsia" w:ascii="仿宋" w:hAnsi="仿宋" w:eastAsia="仿宋" w:cs="仿宋"/>
          <w:kern w:val="0"/>
          <w:sz w:val="28"/>
          <w:szCs w:val="28"/>
        </w:rPr>
        <w:t>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、一般公共服务支出（类）政府办公厅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及相关机构事务（款）行政运行（项）。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2092.33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万元，支出决算为637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32万元，完成年初预算的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30.46</w:t>
      </w:r>
      <w:r>
        <w:rPr>
          <w:rFonts w:hint="eastAsia" w:ascii="仿宋" w:hAnsi="仿宋" w:eastAsia="仿宋" w:cs="仿宋"/>
          <w:kern w:val="0"/>
          <w:sz w:val="28"/>
          <w:szCs w:val="28"/>
        </w:rPr>
        <w:t>%，决算数小于年初预算数的主要原因是：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、一般公共服务支出（类）政府办公厅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及相关机构事务（款）其他政府办公厅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90.5</w:t>
      </w:r>
      <w:r>
        <w:rPr>
          <w:rFonts w:hint="eastAsia" w:ascii="仿宋" w:hAnsi="仿宋" w:eastAsia="仿宋" w:cs="仿宋"/>
          <w:kern w:val="0"/>
          <w:sz w:val="28"/>
          <w:szCs w:val="28"/>
        </w:rPr>
        <w:t>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一般公共服务支出（类）政府办公厅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{室}</w:t>
      </w:r>
      <w:r>
        <w:rPr>
          <w:rFonts w:hint="eastAsia" w:ascii="仿宋" w:hAnsi="仿宋" w:eastAsia="仿宋" w:cs="仿宋"/>
          <w:kern w:val="0"/>
          <w:sz w:val="28"/>
          <w:szCs w:val="28"/>
        </w:rPr>
        <w:t>及相关机构事务（款）信访事务（项）。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一般公共服务支出（类）发展与改革事务（款）其他发展与改革事务支出（项）。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40.00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一般公共服务支出（类）统计信息事务（款）其他统计信息事务支出（项）。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0.20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一般公共服务支出（类）财政事务（款）行政运行（项）。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35.45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一般公共服务支出（类）财政事务（款）其他财政事务支出（项）。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12.42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一般公共服务支出（类）审计事务（款）其他审计事务支出（项）。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一般公共服务支出（类）组织事务（款）公务员事务（项）。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10.50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一般公共服务支出（类）组织事务（款）其他组织事务支出（项）。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0.72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一般公共服务支出（类）统战事务（款）其他统战事务支出（项）。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3.00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一般公共服务支出（类）其他共产党事务支出（款）其他共产党事务支出（项）。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年初预算为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万元，支出决算为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一般公共服务支出（类）其他一般公共服务支出（款）其他一般公共服务支出（项）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年初预算0万元，支出决算92.85万元，决算数大于年初预算数的主要原因是：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15、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国防支出（类）国防动员（款）人民防空（项）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年初预算0万元，支出决算7.00万元，决算数大于年初预算数的主要原因是：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16、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公共安全支出（类）公安（款）信息化建设（项）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年初预算0万元，支出决算22.20万元，决算数大于年初预算数的主要原因是：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17、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公共安全支出（类）强制隔离戒毒（款）强制隔离戒毒人员教育（项）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年初预算0万元，支出决算1.20万元，决算数大于年初预算数的主要原因是：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18、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教育支出（类）教育费附加安排的支出（款）其他教育费附加安排的支出（项）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19、文化旅游体育与传媒支出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（类）文化和旅游（款）其他文化和旅游支出（项）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20、文化旅游体育与传媒支出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（类）其他文化旅游体育与传媒支出（款）其他文化旅游体育与传媒支出（项）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年初预算0万元，支出决算20.33万元，决算数大于年初预算数的主要原因是：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21、社会保障和就业支出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（类）人力资源和社会保障管理事务（款）综合业务管理（项）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年初预算0万元，支出决算1.19万元，决算数大于年初预算数的主要原因是：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（类）人力资源和社会保障管理事务（款）社会保险业务管理事务（项）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年初预算0万元，支出决算2.27万元，决算数大于年初预算数的主要原因是：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23、社会保障和就业支出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（类）人力资源和社会保障管理事务（款）事业运行（项）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年初预算0万元，支出决算1.20万元，决算数大于年初预算数的主要原因是：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（类）民政管理事务（款）其他民政管理事务支出（项）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年初预算0万元，支出决算16.17万元，决算数大于年初预算数的主要原因是：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25、社会保障和就业支出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（类）行政事业单位养老支出（款）机关事业单位基本养老保险缴费支出（项）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年初预算0万元，支出决算28.81万元，决算数大于年初预算数的主要原因是：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（类）行政事业单位养老支出（款）机关事业单位基本养老保险缴费支出（项）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年初预算28.81万元，支出决算28.81万元，占年初预算的100%，决算数等于年初预算数的主要原因是：专项合理开支。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27、社会保障和就业支出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（类）行政事业单位养老支出（款）其他行政事业单位养老支出（项）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年初预算0万元，支出决算0.38万元，决算数大于年初预算数的主要原因是：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28、社会保障和就业支出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（类）抚恤（款）死亡抚恤（项）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年初预算0万元，支出决算3.61万元，决算数大于年初预算数的主要原因是：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（类）抚恤（款）其他优抚支出（项）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年初预算0万元，支出决算13.49万元，决算数大于年初预算数的主要原因是：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（类）退役安置（款）其他退役安置支出（项）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年初预算0万元，支出决算0.71万元，决算数大于年初预算数的主要原因是：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31、社会保障和就业支出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（类）社会福利（款）养老服务（项）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年初预算0万元，支出决算17.44万元，决算数大于年初预算数的主要原因是：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32、社会保障和就业支出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（类）临时救助（款）临时救助支出（项）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年初预算0万元，支出决算2.52万元，决算数大于年初预算数的主要原因是：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33、社会保障和就业支出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（类）特困人员救助供养（款）农村特困人员救助供养支出（项）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年初预算0万元，支出决算14.67万元，决算数大于年初预算数的主要原因是：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34、社会保障和就业支出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（类）退役军人管理事务（款）事业运行（项）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年初预算0万元，支出决算31.25万元，决算数大于年初预算数的主要原因是：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35、社会保障和就业支出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（类）退役军人管理事务（款）其他退役军人事务管理支出（项）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年初预算0万元，支出决算5.59万元，决算数大于年初预算数的主要原因是：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36、卫生健康支出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（类）公共卫生（款）其他公共卫生支出（项）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37、卫生健康支出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（类）计划生育事务（款）其他计划生育事务支出（项）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年初预算0万元，支出决算1.77万元，决算数大于年初预算数的主要原因是：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38、卫生健康支出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（类）行政事业单位医疗（款）行政单位医疗（项）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年初预算11.63万元，支出决算11.63万元，占年初预算的100%，决算数等于年初预算数的主要原因是：专项合理开支。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39、卫生健康支出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（类）财政对基本医疗保险基金的补助（款）财政对城乡居民基本医疗保险基金的补助（项）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40、卫生健康支出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（类）优抚对象医疗（款）优抚对象医疗补助（项）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年初预算0万元，支出决算0.66万元，决算数大于年初预算数的主要原因是：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41、卫生健康支出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（类）优抚对象医疗（款）其他优抚对象医疗支出（项）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年初预算0万元，支出决算2.97万元，决算数大于年初预算数的主要原因是：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42、卫生健康支出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（类）医疗保障管理事务（款）其他医疗保障管理事务支出（项）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年初预算0万元，支出决算33.00万元，决算数大于年初预算数的主要原因是：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43、卫生健康支出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（类）其他卫生健康支出（款）其他卫生健康支出（项）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年初预算0万元，支出决算2.47万元，决算数大于年初预算数的主要原因是：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44、节能环保支出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（类）污染防治（款）水体（项）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45、节能环保支出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（类）污染防治（款）其他污染防治支出（项）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46、节能环保支出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（类）自然生态保护（款）农村环境保护（项）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年初预算0万元，支出决算118.68万元，决算数大于年初预算数的主要原因是：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47、节能环保支出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（类）自然生态保护（款）自然保护地（项）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年初预算0万元，支出决算402.16万元，决算数大于年初预算数的主要原因是：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48、城乡社区支出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（类）城乡社区公共设施（款）其他城乡社区公共设施支出（项）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年初预算0万元，支出决算4.00万元，决算数大于年初预算数的主要原因是：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49、城乡社区支出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（类）国有土地使用权出让收入安排的支出（款）其他国有土地使用权出让收入安排的支出（项）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年初预算0万元，支出决算0.30万元，决算数大于年初预算数的主要原因是：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50、城乡社区支出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（类）城市基础设施配套费安排的支出（款）其他城市基础设施配套费安排的支出（项）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51、城乡社区支出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（类）其他城乡社区支出（款）其他城乡社区支出（项）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年初预算0万元，支出决算53.24万元，决算数大于年初预算数的主要原因是：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52、农林水支出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（类）农业农村（款）行政运行（项）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年初预算0万元，支出决算88.91万元，决算数大于年初预算数的主要原因是：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53、农林水支出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（类）农业农村（款）事业运行（项）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年初预算0万元，支出决算252.49万元，决算数大于年初预算数的主要原因是：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54、农林水支出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（类）农业农村（款）防灾救灾（项）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年初预算0万元，支出决算14.00万元，决算数大于年初预算数的主要原因是：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55、农林水支出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（类）农业农村（款）农业生产发展（项）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56、农林水支出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（类）农业农村（款）农村社会事业（项）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年初预算0万元，支出决算30.83万元，决算数大于年初预算数的主要原因是：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57、农林水支出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（类）农业农村（款）农村道路建设（项）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58、农林水支出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（类）农业农村（款）其他农业农村支出（项）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年初预算0万元，支出决算108.13万元，决算数大于年初预算数的主要原因是：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59、农林水支出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（类）林业和草原（款）林业草原防灾减灾（项）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（类）林业和草原（款）其他林业和草原支出（项）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年初预算0万元，支出决算11.26万元，决算数大于年初预算数的主要原因是：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61、农林水支出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（类）水利（款）水利工程建设（项）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62、农林水支出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（类）水利（款）防汛（项）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63、农林水支出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（类）水利（款）抗旱（项）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64、农林水支出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（类）水利（款）农村水利（项）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年初预算0万元，支出决算31.00万元，决算数大于年初预算数的主要原因是：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65、农林水支出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（类）水利（款）江河湖库水系综合整治（项）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年初预算0万元，支出决算19.00万元，决算数大于年初预算数的主要原因是：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66、农林水支出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（类）水利（款）农村人畜饮水（项）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67、农林水支出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（类）水利（款）其他水利支出（项）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年初预算0万元，支出决算40.00万元，决算数大于年初预算数的主要原因是：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68、农林水支出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（类）巩固脱贫衔接乡村振兴（款）农村基础设施建设（项）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69、农林水支出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（类）巩固脱贫衔接乡村振兴（款）农村基础设施建设（项）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年初预算0万元，支出决算176.07万元，决算数大于年初预算数的主要原因是：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70、农林水支出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（类）农村综合改革（款）对村级公益事业建设的补助（项）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年初预算0万元，支出决算137.00万元，决算数大于年初预算数的主要原因是：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71、农林水支出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（类）农村综合改革（款）对村民委员会和村党支部的补助（项）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年初预算589.18万元，支出决算590.03万元，占100.14%，决算数大于年初预算数的主要原因是：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财政拨款增加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72、农林水支出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（类）农村综合改革（款）其他农村综合改革支出（项）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年初预算0万元，支出决算14.74万元，决算数大于年初预算数的主要原因是：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73、农林水支出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（类）其他农林水支出（款）化解其他公益性乡村债务支出（项）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74、交通运输支出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（类）公路水路运输（款）其他公路水路运输支出（项）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75、金融支出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（类）金融发展支出（款）其他金融发展支出（项）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76、自然资源海洋气象等支出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（类）自然资源事务（款）自然资源利用与保护（项）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年初预算0万元，支出决算6.63万元，决算数大于年初预算数的主要原因是：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77、自然资源海洋气象等支出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（类）自然资源事务（款）自然资源利用与保护（项）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年初预算0万元，支出决算10.33万元，决算数大于年初预算数的主要原因是：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78、自然资源海洋气象等支出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（类）自然资源事务（款）地质矿产资源与环境调查（项）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年初预算0万元，支出决算8.00万元，决算数大于年初预算数的主要原因是：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79、住房保障支出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（类）住房改革支出（款）住房公积金（项）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年初预算34.34万元，支出决算19.94万元，决算数小于年初预算数的主要原因是：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经费拨款减少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80、国有资本经营预算支出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（类）解决历史遗留问题及改革成本支出（款）国有企业退休人员社会化管理补助支出（项）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年初预算0万元，支出决算0.23万元，决算数大于年初预算数的主要原因是：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81、灾害防治及应急管理支出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（类）应急管理事务（款）安全监管（项）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年初预算0万元，支出决算2.30万元，决算数大于年初预算数的主要原因是：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82、灾害防治及应急管理支出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（类）消防救援事务（款）其他消防救援事务支出（项）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年初预算0万元，支出决算5.00万元，决算数大于年初预算数的主要原因是：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83、灾害防治及应急管理支出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（类）矿山安全（款）其他矿山安全支出（项）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年初预算0万元，支出决算20.00万元，决算数大于年初预算数的主要原因是：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84、灾害防治及应急管理支出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（类）自然灾害防治（款）其他自然灾害防治支出（项）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年初预算0万元，支出决算3.00万元，决算数大于年初预算数的主要原因是：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85、其他支出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（类）彩票公益金安排的支出（款）用于社会福利的彩票公益金支出（项）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年初预算0万元，支出决算26.00万元，决算数大于年初预算数的主要原因是：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年初预算未细化到款项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三公经费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支出使用和管理情况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2022年度“三公”经费财政拨款支出预算为0.00万元，支出决算为3.38万元</w:t>
      </w:r>
      <w:bookmarkStart w:id="0" w:name="_GoBack"/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，完成预算的100.00%，其中：公务接待费支出预算为0.00万元，支出决算为3.38万元，完成预算的100.00%，决算数大于预算数的主要原因是财政拨款</w:t>
      </w:r>
      <w:bookmarkEnd w:id="0"/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收入增加，与上年相比减少0.01万元，减少0.29%,减少的主要原因是厉行节约。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三、部门绩效目标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（一）部门绩效总目标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1.保证政府日常开支正常运行，组织经济运行，促进经济发展。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2.推进乡村振兴建设和巩固脱贫攻坚成果。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3.保障村级财务良性运转，制定并组织实施村镇建设工程规划。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4.保障社会治安，做好维稳工作。</w:t>
      </w:r>
    </w:p>
    <w:p>
      <w:pPr>
        <w:widowControl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年度部门绩效目标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产出指标：落实乡村振兴15个项目，确保18个村专项经费拨付，党建活动开展10次，机关事务正常运转率达到100%，基础设施工程验收合格率大于95%，发放惠农补贴资金2182.25万元，工作及时完成率达到100%，三公经费控制小于20万元，政府正常运行日常开支630.27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效益指标：农户收入增长达5%，惠农补贴惠及户数达7589户，保障社会稳定，新农合参保率达95%，松线虫防治项目完成，政府服务能力提升，环境知识培训覆盖18个村。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满意度指标：群众满意度大于95%，干部和职工满意度大于95%。</w:t>
      </w:r>
    </w:p>
    <w:p>
      <w:pPr>
        <w:widowControl/>
        <w:numPr>
          <w:ilvl w:val="0"/>
          <w:numId w:val="3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绩效评价工作情况</w:t>
      </w:r>
    </w:p>
    <w:p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2022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年，我镇积极履职，强化管理，较好地完成了年度工作目标。通过加强预算收支管理，不断建立健全内部管理制度，梳理内部管理流程，部门整体支出管理水平得到提升。根据部门整体支出绩效自评表，我镇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2022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年度绩效自评得分为9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8.72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分。</w:t>
      </w:r>
    </w:p>
    <w:p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五、综合评价结果</w:t>
      </w:r>
    </w:p>
    <w:p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根据部门整体支出绩效评价指标体系和绩效检查情况，综合得分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98.72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分（总分为100分），总体考核为优秀。</w:t>
      </w:r>
    </w:p>
    <w:p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产出指标完成情况：乡村振兴项目完成20个，18个村专项经费全额拨付，党建活动开展达到10次，机关事务正常运转率达到100%，基础设施工程验收合格率100%，发放惠农补贴资金2356.39万元，工作及时完成率95%，三公经费3.38万元，政府正常运行日常开支637.32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2.效益指标完成情况：农户收入增长达5%，惠农补贴惠及户数达7589户，保障社会稳定，新农合参保率达100%，松线虫防治项目完成，政府服务能力提升，环境知识培训覆盖18个村。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3.满意度指标完成情况：群众满意度100%，干部和职工满意度100%。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存在的主要问题及原因分析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867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管理制度不完善。原因分析：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绩效管理相关制度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不健全，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在业务活动中，绩效评价往往作为附件在项目活动中处于劣势地位，量化难度大，形式大于内容。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2.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评价工作效益低。原因分析：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绩效评价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覆盖面窄，评价工作与实际账务工作衔接不紧密，绩效评价对项目工程的影响程度较低，效益不高。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3.绩效目标不精准。原因分析：乡镇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业务繁杂，预算指标精细，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则绩效目标在繁杂中求精细，编制难度较大，准确度不高，科学性和合理性存疑。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cs="Times New Roma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八、有关建议</w:t>
      </w:r>
    </w:p>
    <w:p>
      <w:pPr>
        <w:pStyle w:val="5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1.完善绩效管理制度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全面公开绩效信息，接受社会公众监督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加强项目管理责任人的绩效意识，协调配合设置绩效目标，将绩效目标与资金分配持钩，确保绩效目标表填报更准确、全面。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left="562" w:leftChars="0" w:right="0" w:righ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加强评价结果应用。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将评价结果与实际业务挂钩，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对绩效好的政策和项目原则上优先保障，对绩效一般的政策和项目要督促改进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对相关工作人员加强培训，提升评价的需求与质量。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right="0" w:righ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3.准确编制绩效目标。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right="0" w:righ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预算指标设置应考虑乡镇的实际情况，适当将相关指标统筹合并。优先保障固定性的、相对刚性的费用支出项目，尽量压缩变动性、有控制空间的费用项目，进步提高预算编制的科学性、严谨性和可控性。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wordWrap w:val="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      2023年9月27日   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桃源县观音寺镇人民政府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061E1"/>
    <w:multiLevelType w:val="singleLevel"/>
    <w:tmpl w:val="EC2061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2EFEE41"/>
    <w:multiLevelType w:val="singleLevel"/>
    <w:tmpl w:val="32EFEE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6316EB"/>
    <w:multiLevelType w:val="singleLevel"/>
    <w:tmpl w:val="436316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0D9D44C"/>
    <w:multiLevelType w:val="singleLevel"/>
    <w:tmpl w:val="50D9D4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9CB19D2"/>
    <w:multiLevelType w:val="singleLevel"/>
    <w:tmpl w:val="79CB19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TdlMWMwNjgzZGNkZGMyY2MwZTUwYWRjMTI4YmYifQ=="/>
  </w:docVars>
  <w:rsids>
    <w:rsidRoot w:val="008E482A"/>
    <w:rsid w:val="003A28A3"/>
    <w:rsid w:val="008E482A"/>
    <w:rsid w:val="00CE0CB2"/>
    <w:rsid w:val="00F33FAD"/>
    <w:rsid w:val="00F46D8E"/>
    <w:rsid w:val="05D22E92"/>
    <w:rsid w:val="093E0B82"/>
    <w:rsid w:val="19B606BF"/>
    <w:rsid w:val="1A022ABD"/>
    <w:rsid w:val="2C195496"/>
    <w:rsid w:val="2C504970"/>
    <w:rsid w:val="2C6D71FE"/>
    <w:rsid w:val="2D545FBE"/>
    <w:rsid w:val="35527ED3"/>
    <w:rsid w:val="390A5826"/>
    <w:rsid w:val="619E0170"/>
    <w:rsid w:val="67492622"/>
    <w:rsid w:val="7CF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8">
    <w:name w:val="page number"/>
    <w:basedOn w:val="7"/>
    <w:qFormat/>
    <w:uiPriority w:val="99"/>
  </w:style>
  <w:style w:type="character" w:customStyle="1" w:styleId="9">
    <w:name w:val="Footer Char"/>
    <w:basedOn w:val="7"/>
    <w:link w:val="3"/>
    <w:semiHidden/>
    <w:qFormat/>
    <w:uiPriority w:val="99"/>
    <w:rPr>
      <w:rFonts w:cs="Calibri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8</Pages>
  <Words>2682</Words>
  <Characters>3119</Characters>
  <Lines>0</Lines>
  <Paragraphs>0</Paragraphs>
  <TotalTime>0</TotalTime>
  <ScaleCrop>false</ScaleCrop>
  <LinksUpToDate>false</LinksUpToDate>
  <CharactersWithSpaces>3203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2022-09-18T23:54:00Z</dcterms:created>
  <dc:creator>Administrator</dc:creator>
  <cp:lastModifiedBy>Administrator</cp:lastModifiedBy>
  <dcterms:modified xsi:type="dcterms:W3CDTF">2023-12-06T02:41:34Z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2E020DAC0A4142ADA5CD70669E6DADAA_13</vt:lpwstr>
  </property>
</Properties>
</file>