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仿宋"/>
          <w:kern w:val="0"/>
          <w:sz w:val="24"/>
          <w:szCs w:val="24"/>
        </w:rPr>
        <w:t>填报单位：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127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111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114%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2020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2021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2021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18.55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18.55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619.86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1430.08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业务工作专项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619.86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1430.08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运行维护专项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1223.25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1231.46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129.78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151.26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9.68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3.58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3.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4.75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4.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62.22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68.5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5.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6.34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28.24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6.物业管理费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12.94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7.公务接待费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18.55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8.劳务费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304.82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9.其他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674.17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861.75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——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——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</w:p>
    <w:p>
      <w:pPr>
        <w:widowControl/>
        <w:ind w:firstLine="480" w:firstLineChars="200"/>
        <w:jc w:val="left"/>
      </w:pPr>
      <w:r>
        <w:rPr>
          <w:rFonts w:hint="eastAsia" w:ascii="Times New Roman" w:hAnsi="Times New Roman" w:eastAsia="仿宋" w:cs="仿宋"/>
          <w:kern w:val="0"/>
          <w:sz w:val="24"/>
          <w:szCs w:val="24"/>
        </w:rPr>
        <w:t>说明：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 w:eastAsia="仿宋" w:cs="仿宋"/>
          <w:kern w:val="0"/>
          <w:sz w:val="24"/>
          <w:szCs w:val="24"/>
        </w:rPr>
        <w:t>项目支出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 w:eastAsia="仿宋" w:cs="仿宋"/>
          <w:kern w:val="0"/>
          <w:sz w:val="24"/>
          <w:szCs w:val="24"/>
        </w:rPr>
        <w:t>需要填报所有项目情况，包括业务工作项目、运行维护项目等；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 w:eastAsia="仿宋" w:cs="仿宋"/>
          <w:kern w:val="0"/>
          <w:sz w:val="24"/>
          <w:szCs w:val="24"/>
        </w:rPr>
        <w:t>公用经费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 w:eastAsia="仿宋" w:cs="仿宋"/>
          <w:kern w:val="0"/>
          <w:sz w:val="24"/>
          <w:szCs w:val="24"/>
        </w:rPr>
        <w:t>填报基本支出中的一般商品和服务支出。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2ZhNzAzMDkxZjE0NzA1NTAzMzU1OWJjMGUyMjIifQ=="/>
  </w:docVars>
  <w:rsids>
    <w:rsidRoot w:val="00000000"/>
    <w:rsid w:val="3C5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spacing w:after="12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2022-12-13T10:24:31Z</dcterms:created>
  <dc:creator>Administrator</dc:creator>
  <cp:lastModifiedBy>Administrator</cp:lastModifiedBy>
  <dcterms:modified xsi:type="dcterms:W3CDTF">2022-12-13T10:25:06Z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2AB05F65E2AA4456B1807134FE4B69C8</vt:lpwstr>
  </property>
</Properties>
</file>