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Helvetica" w:hAnsi="Helvetica" w:eastAsia="Helvetica" w:cs="Helvetica"/>
          <w:b w:val="0"/>
          <w:bCs w:val="0"/>
          <w:i w:val="0"/>
          <w:iCs w:val="0"/>
          <w:caps w:val="0"/>
          <w:color w:val="333333"/>
          <w:spacing w:val="0"/>
          <w:sz w:val="24"/>
          <w:szCs w:val="24"/>
        </w:rPr>
      </w:pPr>
      <w:r>
        <w:rPr>
          <w:rStyle w:val="5"/>
          <w:rFonts w:hint="eastAsia" w:ascii="宋体" w:hAnsi="宋体" w:eastAsia="宋体" w:cs="宋体"/>
          <w:b/>
          <w:bCs/>
          <w:i w:val="0"/>
          <w:iCs w:val="0"/>
          <w:caps w:val="0"/>
          <w:color w:val="333333"/>
          <w:spacing w:val="0"/>
          <w:sz w:val="43"/>
          <w:szCs w:val="43"/>
          <w:bdr w:val="none" w:color="auto" w:sz="0" w:space="0"/>
          <w:shd w:val="clear" w:fill="FFFFFF"/>
        </w:rPr>
        <w:t>桃源县商务局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Helvetica" w:hAnsi="Helvetica" w:eastAsia="Helvetica" w:cs="Helvetica"/>
          <w:b w:val="0"/>
          <w:bCs w:val="0"/>
          <w:i w:val="0"/>
          <w:iCs w:val="0"/>
          <w:caps w:val="0"/>
          <w:color w:val="333333"/>
          <w:spacing w:val="0"/>
          <w:sz w:val="24"/>
          <w:szCs w:val="24"/>
        </w:rPr>
      </w:pPr>
      <w:bookmarkStart w:id="0" w:name="_GoBack"/>
      <w:r>
        <w:rPr>
          <w:rStyle w:val="5"/>
          <w:rFonts w:hint="eastAsia" w:ascii="宋体" w:hAnsi="宋体" w:eastAsia="宋体" w:cs="宋体"/>
          <w:b/>
          <w:bCs/>
          <w:i w:val="0"/>
          <w:iCs w:val="0"/>
          <w:caps w:val="0"/>
          <w:color w:val="333333"/>
          <w:spacing w:val="0"/>
          <w:sz w:val="43"/>
          <w:szCs w:val="43"/>
          <w:bdr w:val="none" w:color="auto" w:sz="0" w:space="0"/>
          <w:shd w:val="clear" w:fill="FFFFFF"/>
        </w:rPr>
        <w:t>2020年度整体支出绩效自评报告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default" w:ascii="Times New Roman" w:hAnsi="Times New Roman" w:eastAsia="Helvetica" w:cs="Times New Roman"/>
          <w:b w:val="0"/>
          <w:bCs w:val="0"/>
          <w:i w:val="0"/>
          <w:iCs w:val="0"/>
          <w:caps w:val="0"/>
          <w:color w:val="222222"/>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ascii="仿宋" w:hAnsi="仿宋" w:eastAsia="仿宋" w:cs="仿宋"/>
          <w:b w:val="0"/>
          <w:bCs w:val="0"/>
          <w:i w:val="0"/>
          <w:iCs w:val="0"/>
          <w:caps w:val="0"/>
          <w:color w:val="333333"/>
          <w:spacing w:val="0"/>
          <w:sz w:val="31"/>
          <w:szCs w:val="31"/>
          <w:bdr w:val="none" w:color="auto" w:sz="0" w:space="0"/>
          <w:shd w:val="clear" w:fill="FFFFFF"/>
        </w:rPr>
        <w:t>本着独立、客观、公正、科学的原则，按照公认的绩效评价方法，强化财政支出资金管理，提高财政资金使用效益，根据《桃源县财政局关于明确2020年度财政资金预算绩效管理目标任务的通知》（桃财发〔2021〕5号）预算绩效工作安排，我们对2020年度桃源县商务局部门整体支出进行了绩效自评，形成本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ascii="黑体" w:hAnsi="宋体" w:eastAsia="黑体" w:cs="黑体"/>
          <w:b/>
          <w:bCs/>
          <w:i w:val="0"/>
          <w:iCs w:val="0"/>
          <w:caps w:val="0"/>
          <w:color w:val="333333"/>
          <w:spacing w:val="0"/>
          <w:sz w:val="31"/>
          <w:szCs w:val="31"/>
          <w:bdr w:val="none" w:color="auto" w:sz="0" w:space="0"/>
          <w:shd w:val="clear" w:fill="FFFFFF"/>
        </w:rPr>
        <w:t>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ascii="楷体" w:hAnsi="楷体" w:eastAsia="楷体" w:cs="楷体"/>
          <w:b/>
          <w:bCs/>
          <w:i w:val="0"/>
          <w:iCs w:val="0"/>
          <w:caps w:val="0"/>
          <w:color w:val="333333"/>
          <w:spacing w:val="0"/>
          <w:sz w:val="31"/>
          <w:szCs w:val="31"/>
          <w:bdr w:val="none" w:color="auto" w:sz="0" w:space="0"/>
          <w:shd w:val="clear" w:fill="FFFFFF"/>
        </w:rPr>
        <w:t>（一）机构、人员构成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桃源县商务局，系原桃源县商务粮食局涉改单位，正科级行政单位，为县人民政府工作部门。局机关内设6个股室：办公室、政工人事股、市场秩序股、外经外贸股、市场体系建设股、商贸服务股，一个中小商贸流通企业服务中心二级事业单位 。本单位实行独立财务核算，执行行政单位会计制度。现有行政编制15名，工勤编制2名，事业编制8名；年末实有在职人员22人，离休2人，退休46人，遗属8人，再就业援助对象10人。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楷体" w:hAnsi="楷体" w:eastAsia="楷体" w:cs="楷体"/>
          <w:b/>
          <w:bCs/>
          <w:i w:val="0"/>
          <w:iCs w:val="0"/>
          <w:caps w:val="0"/>
          <w:color w:val="333333"/>
          <w:spacing w:val="0"/>
          <w:sz w:val="31"/>
          <w:szCs w:val="31"/>
          <w:bdr w:val="none" w:color="auto" w:sz="0" w:space="0"/>
          <w:shd w:val="clear" w:fill="FFFFFF"/>
        </w:rPr>
        <w:t>（二）单位主要职责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我局承担全县商务系统统计及信息发布工作，提供信息咨询服务，指导全县流通领域信息网络和电子商务建设，监测分析市场运行和商品供求状况，组织实施重要消费品市场调控，成品油监管、社会消费品零售总额监测等工作；承担市对县考核的内外资总额、外资、外贸进出口、对外投资及劳务输出和招商引资等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黑体" w:hAnsi="宋体" w:eastAsia="黑体" w:cs="黑体"/>
          <w:b/>
          <w:bCs/>
          <w:i w:val="0"/>
          <w:iCs w:val="0"/>
          <w:caps w:val="0"/>
          <w:color w:val="333333"/>
          <w:spacing w:val="0"/>
          <w:sz w:val="31"/>
          <w:szCs w:val="31"/>
          <w:bdr w:val="none" w:color="auto" w:sz="0" w:space="0"/>
          <w:shd w:val="clear" w:fill="FFFFFF"/>
        </w:rPr>
        <w:t>二、部门财务情况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楷体" w:hAnsi="楷体" w:eastAsia="楷体" w:cs="楷体"/>
          <w:b/>
          <w:bCs/>
          <w:i w:val="0"/>
          <w:iCs w:val="0"/>
          <w:caps w:val="0"/>
          <w:color w:val="333333"/>
          <w:spacing w:val="0"/>
          <w:sz w:val="31"/>
          <w:szCs w:val="31"/>
          <w:bdr w:val="none" w:color="auto" w:sz="0" w:space="0"/>
          <w:shd w:val="clear" w:fill="FFFFFF"/>
        </w:rPr>
        <w:t>（一）部门整体支出情况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2020年度一般公共预算财政拨款支出1547.08万元，其中：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1.一般公共预算财政拨款基本支出645.71万元，其中：人员经费支出541.64万元，日常公用经费支出104.07万元。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2.一般公共预算财政拨款项目支出901.37万元，其中：行政事业类项目支出901.37万元，基本建设类项目支出0万元。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楷体" w:hAnsi="楷体" w:eastAsia="楷体" w:cs="楷体"/>
          <w:b/>
          <w:bCs/>
          <w:i w:val="0"/>
          <w:iCs w:val="0"/>
          <w:caps w:val="0"/>
          <w:color w:val="333333"/>
          <w:spacing w:val="0"/>
          <w:sz w:val="31"/>
          <w:szCs w:val="31"/>
          <w:bdr w:val="none" w:color="auto" w:sz="0" w:space="0"/>
          <w:shd w:val="clear" w:fill="FFFFFF"/>
        </w:rPr>
        <w:t>（二）部门预算收支决算情况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1.部门预算收支情况。</w:t>
      </w:r>
      <w:r>
        <w:rPr>
          <w:rFonts w:hint="eastAsia" w:ascii="仿宋" w:hAnsi="仿宋" w:eastAsia="仿宋" w:cs="仿宋"/>
          <w:b w:val="0"/>
          <w:bCs w:val="0"/>
          <w:i w:val="0"/>
          <w:iCs w:val="0"/>
          <w:caps w:val="0"/>
          <w:color w:val="333333"/>
          <w:spacing w:val="0"/>
          <w:sz w:val="31"/>
          <w:szCs w:val="31"/>
          <w:bdr w:val="none" w:color="auto" w:sz="0" w:space="0"/>
          <w:shd w:val="clear" w:fill="FFFFFF"/>
        </w:rPr>
        <w:t>2020年收入预算数822.85万元，其中一般公共预算财政拨款收入314.38万元，上级补助收入0万元，其他收入508.47万元。支出预算数822.85万元，其中工资福利支出291.31万元，商品和服务支出296.75万元，对个人和家庭的补助支出122.79万元，对企业补助性支出112万元（其中：社零统计12万元，电商扶贫100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2.部门决算收支情况。</w:t>
      </w:r>
      <w:r>
        <w:rPr>
          <w:rFonts w:hint="eastAsia" w:ascii="仿宋" w:hAnsi="仿宋" w:eastAsia="仿宋" w:cs="仿宋"/>
          <w:b w:val="0"/>
          <w:bCs w:val="0"/>
          <w:i w:val="0"/>
          <w:iCs w:val="0"/>
          <w:caps w:val="0"/>
          <w:color w:val="333333"/>
          <w:spacing w:val="0"/>
          <w:sz w:val="31"/>
          <w:szCs w:val="31"/>
          <w:bdr w:val="none" w:color="auto" w:sz="0" w:space="0"/>
          <w:shd w:val="clear" w:fill="FFFFFF"/>
        </w:rPr>
        <w:t>2020年度收入决算数1574.57万元。支出决算数1547.08万元，其中工资福利支出343.96万元，商品和服务支出137.39万元，对个人和家庭的补助支出197.68万元，基本建设支出 0万元，对企业补助868.05万元。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3.年初收支结转和年末收支结余情况。</w:t>
      </w:r>
      <w:r>
        <w:rPr>
          <w:rFonts w:hint="eastAsia" w:ascii="仿宋" w:hAnsi="仿宋" w:eastAsia="仿宋" w:cs="仿宋"/>
          <w:b w:val="0"/>
          <w:bCs w:val="0"/>
          <w:i w:val="0"/>
          <w:iCs w:val="0"/>
          <w:caps w:val="0"/>
          <w:color w:val="333333"/>
          <w:spacing w:val="0"/>
          <w:sz w:val="31"/>
          <w:szCs w:val="31"/>
          <w:bdr w:val="none" w:color="auto" w:sz="0" w:space="0"/>
          <w:shd w:val="clear" w:fill="FFFFFF"/>
        </w:rPr>
        <w:t>2020年度年初收支结转资金133.68万元，年末收支结余资金161.17万元。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楷体" w:hAnsi="楷体" w:eastAsia="楷体" w:cs="楷体"/>
          <w:b/>
          <w:bCs/>
          <w:i w:val="0"/>
          <w:iCs w:val="0"/>
          <w:caps w:val="0"/>
          <w:color w:val="333333"/>
          <w:spacing w:val="0"/>
          <w:sz w:val="31"/>
          <w:szCs w:val="31"/>
          <w:bdr w:val="none" w:color="auto" w:sz="0" w:space="0"/>
          <w:shd w:val="clear" w:fill="FFFFFF"/>
        </w:rPr>
        <w:t>（三）“三公经费”支出使用和管理情况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2020年度一般公共预算财政拨款“三公经费”支出13.24万元，其中因公出国出境6万元，公务接待费7.24万元，无公务用车支出。一直以来，我局严格按照“三公”经费管理规定执行，厉行节约，强化公务接待管理和公务用车管理，“三公经费”较上年减少26.13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黑体" w:hAnsi="宋体" w:eastAsia="黑体" w:cs="黑体"/>
          <w:b/>
          <w:bCs/>
          <w:i w:val="0"/>
          <w:iCs w:val="0"/>
          <w:caps w:val="0"/>
          <w:color w:val="333333"/>
          <w:spacing w:val="0"/>
          <w:sz w:val="31"/>
          <w:szCs w:val="31"/>
          <w:bdr w:val="none" w:color="auto" w:sz="0" w:space="0"/>
          <w:shd w:val="clear" w:fill="FFFFFF"/>
        </w:rPr>
        <w:t>三、部门绩效目标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楷体" w:hAnsi="楷体" w:eastAsia="楷体" w:cs="楷体"/>
          <w:b/>
          <w:bCs/>
          <w:i w:val="0"/>
          <w:iCs w:val="0"/>
          <w:caps w:val="0"/>
          <w:color w:val="333333"/>
          <w:spacing w:val="0"/>
          <w:sz w:val="31"/>
          <w:szCs w:val="31"/>
          <w:bdr w:val="none" w:color="auto" w:sz="0" w:space="0"/>
          <w:shd w:val="clear" w:fill="FFFFFF"/>
        </w:rPr>
        <w:t>（一）部门绩效总目标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完成全县社会零售总额监测，加大招商引资力度，积极引进和培育有外贸进出口前景的外向型企业，巩固现有出口企业成果，积极推进电子商务发展，加大电商扶贫对企业的扶持力度。简化办事程序，提高行政效能，加强对商贸流通领域特别是成品油市场的监管，确保商贸流通领域全年无安全生产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楷体" w:hAnsi="楷体" w:eastAsia="楷体" w:cs="楷体"/>
          <w:b/>
          <w:bCs/>
          <w:i w:val="0"/>
          <w:iCs w:val="0"/>
          <w:caps w:val="0"/>
          <w:color w:val="333333"/>
          <w:spacing w:val="0"/>
          <w:sz w:val="31"/>
          <w:szCs w:val="31"/>
          <w:bdr w:val="none" w:color="auto" w:sz="0" w:space="0"/>
          <w:shd w:val="clear" w:fill="FFFFFF"/>
        </w:rPr>
        <w:t>（二）2020年度部门绩效目标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①完成招商引资指标任务：内资100亿元，外资13.8亿元。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②完成外贸进出口总额16.4亿元。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③完成引进亿元项目个数21个。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④完成全县社会零售总额220.02亿元。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⑤完成电商扶贫总额100万元。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黑体" w:hAnsi="宋体" w:eastAsia="黑体" w:cs="黑体"/>
          <w:b/>
          <w:bCs/>
          <w:i w:val="0"/>
          <w:iCs w:val="0"/>
          <w:caps w:val="0"/>
          <w:color w:val="333333"/>
          <w:spacing w:val="0"/>
          <w:sz w:val="31"/>
          <w:szCs w:val="31"/>
          <w:bdr w:val="none" w:color="auto" w:sz="0" w:space="0"/>
          <w:shd w:val="clear" w:fill="FFFFFF"/>
        </w:rPr>
        <w:t>四、绩效评价工作情况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在评价过程中，结合我局实际情况，采取座谈等方式听取情况介绍，检查基本支出、项目支出有关财务账目，收集整理支出相关资料，并根据各部门报送的绩效自评材料进行分析，形成评价结论。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黑体" w:hAnsi="宋体" w:eastAsia="黑体" w:cs="黑体"/>
          <w:b/>
          <w:bCs/>
          <w:i w:val="0"/>
          <w:iCs w:val="0"/>
          <w:caps w:val="0"/>
          <w:color w:val="333333"/>
          <w:spacing w:val="0"/>
          <w:sz w:val="31"/>
          <w:szCs w:val="31"/>
          <w:bdr w:val="none" w:color="auto" w:sz="0" w:space="0"/>
          <w:shd w:val="clear" w:fill="FFFFFF"/>
        </w:rPr>
        <w:t>五、综合评价结果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经综合考评，2020年度桃源县商务局整体支出绩效评价90.5分，评价等级为：优。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黑体" w:hAnsi="宋体" w:eastAsia="黑体" w:cs="黑体"/>
          <w:b/>
          <w:bCs/>
          <w:i w:val="0"/>
          <w:iCs w:val="0"/>
          <w:caps w:val="0"/>
          <w:color w:val="333333"/>
          <w:spacing w:val="0"/>
          <w:sz w:val="31"/>
          <w:szCs w:val="31"/>
          <w:bdr w:val="none" w:color="auto" w:sz="0" w:space="0"/>
          <w:shd w:val="clear" w:fill="FFFFFF"/>
        </w:rPr>
        <w:t>六、部门整体支出绩效情况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楷体" w:hAnsi="楷体" w:eastAsia="楷体" w:cs="楷体"/>
          <w:b/>
          <w:bCs/>
          <w:i w:val="0"/>
          <w:iCs w:val="0"/>
          <w:caps w:val="0"/>
          <w:color w:val="333333"/>
          <w:spacing w:val="0"/>
          <w:sz w:val="31"/>
          <w:szCs w:val="31"/>
          <w:bdr w:val="none" w:color="auto" w:sz="0" w:space="0"/>
          <w:shd w:val="clear" w:fill="FFFFFF"/>
        </w:rPr>
        <w:t>（一）重点工作稳步推进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2020年，我们克服了多重困难，狠抓重点工作，在疫情对市场经济影响甚大的环境下，稳中有进、稳中向好、卓有成效，较好的完成了各项工作任务，取得了较好的社会效益，主要呈现在五个方面：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1.外经外贸。</w:t>
      </w:r>
      <w:r>
        <w:rPr>
          <w:rFonts w:hint="eastAsia" w:ascii="仿宋" w:hAnsi="仿宋" w:eastAsia="仿宋" w:cs="仿宋"/>
          <w:b w:val="0"/>
          <w:bCs w:val="0"/>
          <w:i w:val="0"/>
          <w:iCs w:val="0"/>
          <w:caps w:val="0"/>
          <w:color w:val="333333"/>
          <w:spacing w:val="0"/>
          <w:sz w:val="31"/>
          <w:szCs w:val="31"/>
          <w:bdr w:val="none" w:color="auto" w:sz="0" w:space="0"/>
          <w:shd w:val="clear" w:fill="FFFFFF"/>
        </w:rPr>
        <w:t>外贸进出口目标任务23800万美元，（约人民币16.4亿元），已完成23800万美元，占全年目标100%。外经：2020年外经目标任务9161万美元，已完成9161.5万美元，占全年目标100%，完成全年目标任务。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2.内外资。</w:t>
      </w:r>
      <w:r>
        <w:rPr>
          <w:rFonts w:hint="eastAsia" w:ascii="仿宋" w:hAnsi="仿宋" w:eastAsia="仿宋" w:cs="仿宋"/>
          <w:b w:val="0"/>
          <w:bCs w:val="0"/>
          <w:i w:val="0"/>
          <w:iCs w:val="0"/>
          <w:caps w:val="0"/>
          <w:color w:val="333333"/>
          <w:spacing w:val="0"/>
          <w:sz w:val="31"/>
          <w:szCs w:val="31"/>
          <w:bdr w:val="none" w:color="auto" w:sz="0" w:space="0"/>
          <w:shd w:val="clear" w:fill="FFFFFF"/>
        </w:rPr>
        <w:t>外资全年目标任务为20100万美元（约人民币13.8亿元），已完成21956万美元，完成全年目标任务的109%，同比增长9%，总量排名第三。内资全年目标任务1000000万元，已完成1055330万元，其中省外境内完成608330万元，完成全年目标任务的106%，同比增长6%，总量排名第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3.重大项目。</w:t>
      </w:r>
      <w:r>
        <w:rPr>
          <w:rFonts w:hint="eastAsia" w:ascii="仿宋" w:hAnsi="仿宋" w:eastAsia="仿宋" w:cs="仿宋"/>
          <w:b w:val="0"/>
          <w:bCs w:val="0"/>
          <w:i w:val="0"/>
          <w:iCs w:val="0"/>
          <w:caps w:val="0"/>
          <w:color w:val="333333"/>
          <w:spacing w:val="0"/>
          <w:sz w:val="31"/>
          <w:szCs w:val="31"/>
          <w:bdr w:val="none" w:color="auto" w:sz="0" w:space="0"/>
          <w:shd w:val="clear" w:fill="FFFFFF"/>
        </w:rPr>
        <w:t>全年目标任务为21个（亿元以上的工业项目16个,10亿元以上工业项目3个，三类500强投资项目2个）。 实际完成重大项目28个（亿元以上的工业项目23个,10亿元以上项目3个，三类500强项目2个）已超额完成全年任务。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4.“破零倍增”。</w:t>
      </w:r>
      <w:r>
        <w:rPr>
          <w:rFonts w:hint="eastAsia" w:ascii="仿宋" w:hAnsi="仿宋" w:eastAsia="仿宋" w:cs="仿宋"/>
          <w:b w:val="0"/>
          <w:bCs w:val="0"/>
          <w:i w:val="0"/>
          <w:iCs w:val="0"/>
          <w:caps w:val="0"/>
          <w:color w:val="333333"/>
          <w:spacing w:val="0"/>
          <w:sz w:val="31"/>
          <w:szCs w:val="31"/>
          <w:bdr w:val="none" w:color="auto" w:sz="0" w:space="0"/>
          <w:shd w:val="clear" w:fill="FFFFFF"/>
        </w:rPr>
        <w:t>我县原有外贸业绩的企业只有11家，2020年度新增破零企业1家（金朋），倍增企业4家（龙行天下、嘉力亚贸易公司、三合新能源、传奇锋）。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5.社会消费品零售总额。</w:t>
      </w:r>
      <w:r>
        <w:rPr>
          <w:rFonts w:hint="eastAsia" w:ascii="仿宋" w:hAnsi="仿宋" w:eastAsia="仿宋" w:cs="仿宋"/>
          <w:b w:val="0"/>
          <w:bCs w:val="0"/>
          <w:i w:val="0"/>
          <w:iCs w:val="0"/>
          <w:caps w:val="0"/>
          <w:color w:val="333333"/>
          <w:spacing w:val="0"/>
          <w:sz w:val="31"/>
          <w:szCs w:val="31"/>
          <w:bdr w:val="none" w:color="auto" w:sz="0" w:space="0"/>
          <w:shd w:val="clear" w:fill="FFFFFF"/>
        </w:rPr>
        <w:t>2020年全县社会零售总额目标任务220.02亿元，完成社会零售总额172.27亿元，新增限上企业8家。社零工作是一项系统工程，涉及面广。为此，我局专门举办了社零统计人员业务知识培训会，努力提升科学报数质量，做到应统尽统。受疫情影响，社会消费品零售总额不理想，在县领导的带领下，多部门联合调度并鼓励商贸企业利用传统节假日，主动开展让利促销活动，吸引消费者，满足城乡居民的消费需求，扩大消费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6.电子商务。</w:t>
      </w:r>
      <w:r>
        <w:rPr>
          <w:rFonts w:hint="eastAsia" w:ascii="仿宋" w:hAnsi="仿宋" w:eastAsia="仿宋" w:cs="仿宋"/>
          <w:b w:val="0"/>
          <w:bCs w:val="0"/>
          <w:i w:val="0"/>
          <w:iCs w:val="0"/>
          <w:caps w:val="0"/>
          <w:color w:val="333333"/>
          <w:spacing w:val="0"/>
          <w:sz w:val="31"/>
          <w:szCs w:val="31"/>
          <w:bdr w:val="none" w:color="auto" w:sz="0" w:space="0"/>
          <w:shd w:val="clear" w:fill="FFFFFF"/>
        </w:rPr>
        <w:t>为深入贯彻落实省、市、县关于开展电商扶贫的相关文件精神，2020年7月10日，由县商务局、农业农村局、热市镇人民政府共同主办了桃源县首届“玉露脆梨”电商节暨第二届生态梨园采摘节， 60位主播通过当日在龙家嘴果园基地进行直播以及连续一周在家直播的销售方式进行竞赛，通过主播们宣传、推销，最终取得了总销售量达40多万斤的好成绩。7月中旬，县政府领导带队、组织县商务局、县供销社、县发改局、县财政局及电商企业代表前往杭州阿里巴巴总部学习、考察电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楷体" w:hAnsi="楷体" w:eastAsia="楷体" w:cs="楷体"/>
          <w:b/>
          <w:bCs/>
          <w:i w:val="0"/>
          <w:iCs w:val="0"/>
          <w:caps w:val="0"/>
          <w:color w:val="333333"/>
          <w:spacing w:val="0"/>
          <w:sz w:val="31"/>
          <w:szCs w:val="31"/>
          <w:bdr w:val="none" w:color="auto" w:sz="0" w:space="0"/>
          <w:shd w:val="clear" w:fill="FFFFFF"/>
        </w:rPr>
        <w:t>（二）其他工作务实高效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1.大力规范行业管理。</w:t>
      </w:r>
      <w:r>
        <w:rPr>
          <w:rFonts w:hint="eastAsia" w:ascii="仿宋" w:hAnsi="仿宋" w:eastAsia="仿宋" w:cs="仿宋"/>
          <w:b w:val="0"/>
          <w:bCs w:val="0"/>
          <w:i w:val="0"/>
          <w:iCs w:val="0"/>
          <w:caps w:val="0"/>
          <w:color w:val="333333"/>
          <w:spacing w:val="0"/>
          <w:sz w:val="31"/>
          <w:szCs w:val="31"/>
          <w:bdr w:val="none" w:color="auto" w:sz="0" w:space="0"/>
          <w:shd w:val="clear" w:fill="FFFFFF"/>
        </w:rPr>
        <w:t>2020年，对一批企业主体责任落实不到位的油站进行督促整改，督查企业主体责任落实，对凌津滩水陆加油站、剪市石化加油站、马鬃岭加油站、马石加油站，在检查中存在的安全隐患问题逐一进行调查，并事后进行跟踪督办整改，目前，这些问题都已整改到位。督查企业消防设施配备情况，对马鬃岭加油站、盘塘中心加油站，消防器材配置不符合要求、消防灭火器过期、消防沙质量不达标问题责令整改，目前，均已整改到位。完成领导交办事项，陬市水上加油站存在的安全隐患问题经市政府领导签字交办后，桃源县政府召开了专题会议进行了任务交办，商务局配合海事、应急、公安等部门对陬市、凌津滩等5座水上加油站进行了集中查处，其中由商务局牵头负责对陬市水上加油点、孔家河加油站、兴隆街上加油站、沅江油料有限公司、尧河水上加油站等5座水上加油站油品质量进行了抽检，并将样品送长沙进行了权威检测，经检测，送检样品质量符合国家标准。进一步规范强化市场监管情况，完成再生资源回收行业换届选举、安全生产专项整治工作和对典当、拍卖、再生资源和汽车市场等特种行业的清理，加强对商业预付卡工作的管理，搞好风险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2.安全生产狠抓严管。</w:t>
      </w:r>
      <w:r>
        <w:rPr>
          <w:rFonts w:hint="eastAsia" w:ascii="仿宋" w:hAnsi="仿宋" w:eastAsia="仿宋" w:cs="仿宋"/>
          <w:b w:val="0"/>
          <w:bCs w:val="0"/>
          <w:i w:val="0"/>
          <w:iCs w:val="0"/>
          <w:caps w:val="0"/>
          <w:color w:val="333333"/>
          <w:spacing w:val="0"/>
          <w:sz w:val="31"/>
          <w:szCs w:val="31"/>
          <w:bdr w:val="none" w:color="auto" w:sz="0" w:space="0"/>
          <w:shd w:val="clear" w:fill="FFFFFF"/>
        </w:rPr>
        <w:t>扎实做好疫情防控工作，防范重点行业食品安全风险。自疫情发生以来，商务局全体干部职工以临战工作状态扑在疫情防控工作一线，坚决履行商务局工作职责，着重抓好超市、餐饮企业、农贸市场疫情防控工作和流通领域食品安全工作。督导各商贸企业落实消毒、清洁、通风等疫情防控措施，严禁宰杀野生动物及销售野生动物产品。督促各商贸企业严格履行食品安全主体责任，规范进货渠道，对米、油、肉、蔬菜、水果等生活必需品来源进行核查，严禁采购、储存、销售无溯源凭证、来历不明、过期变质等不符合食品安全标准的食品，确保产品来源可查，风险可控。六月份，食用野生蘑菇中毒事故高发期，又正是北京新发地市场检测到新冠病毒，疫情突发。我局按照县疫情指挥部的会议精神，第一时间对城区超市、餐饮企业、冷链物流等企业进行督导检查，对各企业采购销售进口肉类、禽类及生鲜海产品情况进行摸排，要求禁止采购销售进口肉类、禽类、生鲜海产品以及野生菌类产品，对相关产品立即下架封存。并牵头联合组织市场监督管理局，卫健局、疾控中心，对超市、餐饮企业、冷链物流等企业的经营人员、经营场所、经营设施器具进行了核酸检测取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3.信访维稳多措并举。</w:t>
      </w:r>
      <w:r>
        <w:rPr>
          <w:rFonts w:hint="eastAsia" w:ascii="仿宋" w:hAnsi="仿宋" w:eastAsia="仿宋" w:cs="仿宋"/>
          <w:b w:val="0"/>
          <w:bCs w:val="0"/>
          <w:i w:val="0"/>
          <w:iCs w:val="0"/>
          <w:caps w:val="0"/>
          <w:color w:val="333333"/>
          <w:spacing w:val="0"/>
          <w:sz w:val="31"/>
          <w:szCs w:val="31"/>
          <w:bdr w:val="none" w:color="auto" w:sz="0" w:space="0"/>
          <w:shd w:val="clear" w:fill="FFFFFF"/>
        </w:rPr>
        <w:t>面对我局维稳群体大，任务重的现状，局党组严格按照年初与县政府签订的《桃源县维护稳定工作责任状》的任务目标，成立了专职维稳队伍，严格落实维稳工作责任制，随时与涉稳重点对象保持慰问联系，及时沟通掌握情况，特护期期间我局组织专人对各重点人员实行“五包一”责任制，及时掌握动向，责任到人，及时稳控，确保了无集体上访事件的发生，维护了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4.精准扶贫真情帮联。</w:t>
      </w:r>
      <w:r>
        <w:rPr>
          <w:rFonts w:hint="eastAsia" w:ascii="仿宋" w:hAnsi="仿宋" w:eastAsia="仿宋" w:cs="仿宋"/>
          <w:b w:val="0"/>
          <w:bCs w:val="0"/>
          <w:i w:val="0"/>
          <w:iCs w:val="0"/>
          <w:caps w:val="0"/>
          <w:color w:val="333333"/>
          <w:spacing w:val="0"/>
          <w:sz w:val="31"/>
          <w:szCs w:val="31"/>
          <w:bdr w:val="none" w:color="auto" w:sz="0" w:space="0"/>
          <w:shd w:val="clear" w:fill="FFFFFF"/>
        </w:rPr>
        <w:t xml:space="preserve">我局严格按照县委关于扶贫工作的安排部署，选派了1名工作人员长驻龙潭镇龙中居委会，具体负责脱贫攻坚队的工作。局机关组织了全局机关干部深入扶贫村进行一对一帮扶活动，对现有的建档立卡贫困户按一户一策落实帮扶，明确帮扶干部责任，共帮扶了龙潭镇龙中居委会12户贫困户和茶庵铺镇成功坪村50户贫困户，帮联干部深入贫困户家中详细了解生产生活情况，宣传扶贫政策，帮助制定扶贫措施，全面完成脱贫攻坚任务，把精准扶贫方略落到实处。进一步拓宽贫困对象农产品的销售渠道，打造了我县“家乡味道”销售模式，与精准扶贫相结合，利用各级驻村帮扶工作队的作用，协调对接机关单位优先采购贫困对象的农产品，在机关工会发放职工福利时，优先考虑贫困对象的产品，用家乡情怀促进精准扶贫。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仿宋" w:hAnsi="仿宋" w:eastAsia="仿宋" w:cs="仿宋"/>
          <w:b/>
          <w:bCs/>
          <w:i w:val="0"/>
          <w:iCs w:val="0"/>
          <w:caps w:val="0"/>
          <w:color w:val="333333"/>
          <w:spacing w:val="0"/>
          <w:sz w:val="31"/>
          <w:szCs w:val="31"/>
          <w:bdr w:val="none" w:color="auto" w:sz="0" w:space="0"/>
          <w:shd w:val="clear" w:fill="FFFFFF"/>
        </w:rPr>
        <w:t>5.党风廉政建设毫不松懈。</w:t>
      </w:r>
      <w:r>
        <w:rPr>
          <w:rFonts w:hint="eastAsia" w:ascii="仿宋" w:hAnsi="仿宋" w:eastAsia="仿宋" w:cs="仿宋"/>
          <w:b w:val="0"/>
          <w:bCs w:val="0"/>
          <w:i w:val="0"/>
          <w:iCs w:val="0"/>
          <w:caps w:val="0"/>
          <w:color w:val="333333"/>
          <w:spacing w:val="0"/>
          <w:sz w:val="31"/>
          <w:szCs w:val="31"/>
          <w:bdr w:val="none" w:color="auto" w:sz="0" w:space="0"/>
          <w:shd w:val="clear" w:fill="FFFFFF"/>
        </w:rPr>
        <w:t>我局党支部始终把提高党员政治思想素质作为党建工作的重点，今年继续结合“不忘初心、牢记使命”主题教育，采取集中学习与党建微信平台相结合的学习模式，学习《中国共产党章程》、《中国共产党廉洁自律准则》、《中国共产党纪律处分条例》等党内法规，学习《习近平治国理论》第三卷，学习十九届五中全会精神，并做好学习笔记,进一步深化了党性实践活动，内容增强了党组织生机和活力，全局上下形成了比学赶帮超的良好工作局面。加强党风廉政建设教育，制定反腐倡廉建设工作年度目标，秉着“谁主管谁负责”的原则，严格落实一岗双责，强化党风党纪，党性教育和廉政警示教育，“纠四风，治陋习”等专项治理活动，严控“三公”经费，加强对权力运行环节的防范控制，全年没有发生一起腐败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黑体" w:hAnsi="宋体" w:eastAsia="黑体" w:cs="黑体"/>
          <w:b/>
          <w:bCs/>
          <w:i w:val="0"/>
          <w:iCs w:val="0"/>
          <w:caps w:val="0"/>
          <w:color w:val="333333"/>
          <w:spacing w:val="0"/>
          <w:sz w:val="31"/>
          <w:szCs w:val="31"/>
          <w:bdr w:val="none" w:color="auto" w:sz="0" w:space="0"/>
          <w:shd w:val="clear" w:fill="FFFFFF"/>
        </w:rPr>
        <w:t>七、存在的主要问题及原因分析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 xml:space="preserve">1.经费不足。本单位资金来源全靠财政拨款，无非税收入等其他收入来源，而在企业改制、维稳及外经外贸招商引资工作中资金缺口较大，每年预算拨款不足，导致运转困难，每年需向政府请求解困资金支持。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2.公用经费和三公经费基本为刚性支出，再进一步压缩控制有难度。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黑体" w:hAnsi="宋体" w:eastAsia="黑体" w:cs="黑体"/>
          <w:b/>
          <w:bCs/>
          <w:i w:val="0"/>
          <w:iCs w:val="0"/>
          <w:caps w:val="0"/>
          <w:color w:val="333333"/>
          <w:spacing w:val="0"/>
          <w:sz w:val="31"/>
          <w:szCs w:val="31"/>
          <w:bdr w:val="none" w:color="auto" w:sz="0" w:space="0"/>
          <w:shd w:val="clear" w:fill="FFFFFF"/>
        </w:rPr>
        <w:t>八、有关建议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针对上述存在的问题及整体支出绩效管理工作的需要，拟实施的改进措施如下：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楷体" w:hAnsi="楷体" w:eastAsia="楷体" w:cs="楷体"/>
          <w:b/>
          <w:bCs/>
          <w:i w:val="0"/>
          <w:iCs w:val="0"/>
          <w:caps w:val="0"/>
          <w:color w:val="333333"/>
          <w:spacing w:val="0"/>
          <w:sz w:val="31"/>
          <w:szCs w:val="31"/>
          <w:bdr w:val="none" w:color="auto" w:sz="0" w:space="0"/>
          <w:shd w:val="clear" w:fill="FFFFFF"/>
        </w:rPr>
        <w:t>1.继续细化预算编制工作，认真做好预算的编制。</w:t>
      </w:r>
      <w:r>
        <w:rPr>
          <w:rFonts w:hint="eastAsia" w:ascii="仿宋" w:hAnsi="仿宋" w:eastAsia="仿宋" w:cs="仿宋"/>
          <w:b w:val="0"/>
          <w:bCs w:val="0"/>
          <w:i w:val="0"/>
          <w:iCs w:val="0"/>
          <w:caps w:val="0"/>
          <w:color w:val="333333"/>
          <w:spacing w:val="0"/>
          <w:sz w:val="31"/>
          <w:szCs w:val="31"/>
          <w:bdr w:val="none" w:color="auto" w:sz="0" w:space="0"/>
          <w:shd w:val="clear" w:fill="FFFFFF"/>
        </w:rPr>
        <w:t>进一步加强单位内部机构各股室的预算管理意识，严格按照预算编制的相关制度和要求进行预算编制；全面编制预算项目，优先保障固定性的、刚性的费用支出项目，进一步提高预算编制的科学性、严谨性和可控性，也请求财政结合本单位实际情况，增加预算资金拨款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楷体" w:hAnsi="楷体" w:eastAsia="楷体" w:cs="楷体"/>
          <w:b/>
          <w:bCs/>
          <w:i w:val="0"/>
          <w:iCs w:val="0"/>
          <w:caps w:val="0"/>
          <w:color w:val="333333"/>
          <w:spacing w:val="0"/>
          <w:sz w:val="31"/>
          <w:szCs w:val="31"/>
          <w:bdr w:val="none" w:color="auto" w:sz="0" w:space="0"/>
          <w:shd w:val="clear" w:fill="FFFFFF"/>
        </w:rPr>
        <w:t>2.加强财务管理，严格财务审核。</w:t>
      </w:r>
      <w:r>
        <w:rPr>
          <w:rFonts w:hint="eastAsia" w:ascii="仿宋" w:hAnsi="仿宋" w:eastAsia="仿宋" w:cs="仿宋"/>
          <w:b w:val="0"/>
          <w:bCs w:val="0"/>
          <w:i w:val="0"/>
          <w:iCs w:val="0"/>
          <w:caps w:val="0"/>
          <w:color w:val="333333"/>
          <w:spacing w:val="0"/>
          <w:sz w:val="31"/>
          <w:szCs w:val="31"/>
          <w:bdr w:val="none" w:color="auto" w:sz="0" w:space="0"/>
          <w:shd w:val="clear" w:fill="FFFFFF"/>
        </w:rPr>
        <w:t>加强单位财务管理，健全单位财务管理制度体系，规范单位财务行为。在费用报账支付时，按照预算规定的费用项目和用途进行资金使用审核、列报支付、财务核算，杜绝超支现象的发生。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Style w:val="5"/>
          <w:rFonts w:hint="eastAsia" w:ascii="楷体" w:hAnsi="楷体" w:eastAsia="楷体" w:cs="楷体"/>
          <w:b/>
          <w:bCs/>
          <w:i w:val="0"/>
          <w:iCs w:val="0"/>
          <w:caps w:val="0"/>
          <w:color w:val="333333"/>
          <w:spacing w:val="0"/>
          <w:sz w:val="31"/>
          <w:szCs w:val="31"/>
          <w:bdr w:val="none" w:color="auto" w:sz="0" w:space="0"/>
          <w:shd w:val="clear" w:fill="FFFFFF"/>
        </w:rPr>
        <w:t>3.完善资产管理，抓好“三公”经费控制。</w:t>
      </w:r>
      <w:r>
        <w:rPr>
          <w:rFonts w:hint="eastAsia" w:ascii="仿宋" w:hAnsi="仿宋" w:eastAsia="仿宋" w:cs="仿宋"/>
          <w:b w:val="0"/>
          <w:bCs w:val="0"/>
          <w:i w:val="0"/>
          <w:iCs w:val="0"/>
          <w:caps w:val="0"/>
          <w:color w:val="333333"/>
          <w:spacing w:val="0"/>
          <w:sz w:val="31"/>
          <w:szCs w:val="31"/>
          <w:bdr w:val="none" w:color="auto" w:sz="0" w:space="0"/>
          <w:shd w:val="clear" w:fill="FFFFFF"/>
        </w:rPr>
        <w:t>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                                                                          桃源县商务局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                                                                          2021年8月27日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Helvetica" w:hAnsi="Helvetica" w:eastAsia="Helvetica" w:cs="Helvetica"/>
          <w:b w:val="0"/>
          <w:bCs w:val="0"/>
          <w:i w:val="0"/>
          <w:iCs w:val="0"/>
          <w:caps w:val="0"/>
          <w:color w:val="333333"/>
          <w:spacing w:val="0"/>
          <w:sz w:val="24"/>
          <w:szCs w:val="24"/>
        </w:rPr>
      </w:pPr>
      <w:r>
        <w:rPr>
          <w:rFonts w:hint="default" w:ascii="Times New Roman" w:hAnsi="Times New Roman" w:eastAsia="Helvetica" w:cs="Times New Roman"/>
          <w:b w:val="0"/>
          <w:bCs w:val="0"/>
          <w:i w:val="0"/>
          <w:iCs w:val="0"/>
          <w:caps w:val="0"/>
          <w:color w:val="000000"/>
          <w:spacing w:val="0"/>
          <w:sz w:val="31"/>
          <w:szCs w:val="31"/>
          <w:bdr w:val="none" w:color="auto" w:sz="0" w:space="0"/>
          <w:shd w:val="clear" w:fill="FFFFFF"/>
        </w:rPr>
        <w:t> </w:t>
      </w:r>
    </w:p>
    <w:tbl>
      <w:tblPr>
        <w:tblW w:w="9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50"/>
        <w:gridCol w:w="582"/>
        <w:gridCol w:w="633"/>
        <w:gridCol w:w="359"/>
        <w:gridCol w:w="3283"/>
        <w:gridCol w:w="3037"/>
        <w:gridCol w:w="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Header/>
        </w:trPr>
        <w:tc>
          <w:tcPr>
            <w:tcW w:w="9435" w:type="dxa"/>
            <w:gridSpan w:val="7"/>
            <w:tcBorders>
              <w:top w:val="nil"/>
              <w:left w:val="nil"/>
              <w:bottom w:val="single" w:color="auto" w:sz="6" w:space="0"/>
              <w:right w:val="nil"/>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80" w:lineRule="atLeast"/>
              <w:ind w:left="0" w:right="0"/>
              <w:jc w:val="center"/>
              <w:rPr>
                <w:sz w:val="21"/>
                <w:szCs w:val="21"/>
              </w:rPr>
            </w:pPr>
            <w:r>
              <w:rPr>
                <w:rFonts w:ascii="方正小标宋_GBK" w:hAnsi="方正小标宋_GBK" w:eastAsia="方正小标宋_GBK" w:cs="方正小标宋_GBK"/>
                <w:b w:val="0"/>
                <w:bCs w:val="0"/>
                <w:i w:val="0"/>
                <w:iCs w:val="0"/>
                <w:caps w:val="0"/>
                <w:color w:val="333333"/>
                <w:spacing w:val="0"/>
                <w:sz w:val="36"/>
                <w:szCs w:val="36"/>
                <w:bdr w:val="none" w:color="auto" w:sz="0" w:space="0"/>
              </w:rPr>
              <w:t>部门整体支出绩效评价指标表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Header/>
        </w:trPr>
        <w:tc>
          <w:tcPr>
            <w:tcW w:w="555"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黑体" w:hAnsi="宋体" w:eastAsia="黑体" w:cs="黑体"/>
                <w:b w:val="0"/>
                <w:bCs w:val="0"/>
                <w:i w:val="0"/>
                <w:iCs w:val="0"/>
                <w:caps w:val="0"/>
                <w:color w:val="000000"/>
                <w:spacing w:val="0"/>
                <w:sz w:val="24"/>
                <w:szCs w:val="24"/>
                <w:bdr w:val="none" w:color="auto" w:sz="0" w:space="0"/>
              </w:rPr>
              <w:t>一级</w:t>
            </w:r>
            <w:r>
              <w:rPr>
                <w:rFonts w:hint="default" w:ascii="Times New Roman" w:hAnsi="Times New Roman" w:eastAsia="Helvetica" w:cs="Times New Roman"/>
                <w:b w:val="0"/>
                <w:bCs w:val="0"/>
                <w:i w:val="0"/>
                <w:iCs w:val="0"/>
                <w:caps w:val="0"/>
                <w:color w:val="000000"/>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000000"/>
                <w:spacing w:val="0"/>
                <w:sz w:val="24"/>
                <w:szCs w:val="24"/>
                <w:bdr w:val="none" w:color="auto" w:sz="0" w:space="0"/>
              </w:rPr>
              <w:t>   </w:t>
            </w:r>
            <w:r>
              <w:rPr>
                <w:rFonts w:hint="eastAsia" w:ascii="黑体" w:hAnsi="宋体" w:eastAsia="黑体" w:cs="黑体"/>
                <w:b w:val="0"/>
                <w:bCs w:val="0"/>
                <w:i w:val="0"/>
                <w:iCs w:val="0"/>
                <w:caps w:val="0"/>
                <w:color w:val="000000"/>
                <w:spacing w:val="0"/>
                <w:sz w:val="24"/>
                <w:szCs w:val="24"/>
                <w:bdr w:val="none" w:color="auto" w:sz="0" w:space="0"/>
              </w:rPr>
              <w:t>指标</w:t>
            </w:r>
          </w:p>
        </w:tc>
        <w:tc>
          <w:tcPr>
            <w:tcW w:w="58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黑体" w:hAnsi="宋体" w:eastAsia="黑体" w:cs="黑体"/>
                <w:b w:val="0"/>
                <w:bCs w:val="0"/>
                <w:i w:val="0"/>
                <w:iCs w:val="0"/>
                <w:caps w:val="0"/>
                <w:color w:val="000000"/>
                <w:spacing w:val="0"/>
                <w:sz w:val="24"/>
                <w:szCs w:val="24"/>
                <w:bdr w:val="none" w:color="auto" w:sz="0" w:space="0"/>
              </w:rPr>
              <w:t>二级</w:t>
            </w:r>
            <w:r>
              <w:rPr>
                <w:rFonts w:hint="default" w:ascii="Times New Roman" w:hAnsi="Times New Roman" w:eastAsia="Helvetica" w:cs="Times New Roman"/>
                <w:b w:val="0"/>
                <w:bCs w:val="0"/>
                <w:i w:val="0"/>
                <w:iCs w:val="0"/>
                <w:caps w:val="0"/>
                <w:color w:val="000000"/>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000000"/>
                <w:spacing w:val="0"/>
                <w:sz w:val="24"/>
                <w:szCs w:val="24"/>
                <w:bdr w:val="none" w:color="auto" w:sz="0" w:space="0"/>
              </w:rPr>
              <w:t>   </w:t>
            </w:r>
            <w:r>
              <w:rPr>
                <w:rFonts w:hint="eastAsia" w:ascii="黑体" w:hAnsi="宋体" w:eastAsia="黑体" w:cs="黑体"/>
                <w:b w:val="0"/>
                <w:bCs w:val="0"/>
                <w:i w:val="0"/>
                <w:iCs w:val="0"/>
                <w:caps w:val="0"/>
                <w:color w:val="000000"/>
                <w:spacing w:val="0"/>
                <w:sz w:val="24"/>
                <w:szCs w:val="24"/>
                <w:bdr w:val="none" w:color="auto" w:sz="0" w:space="0"/>
              </w:rPr>
              <w:t>指标</w:t>
            </w: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黑体" w:hAnsi="宋体" w:eastAsia="黑体" w:cs="黑体"/>
                <w:b w:val="0"/>
                <w:bCs w:val="0"/>
                <w:i w:val="0"/>
                <w:iCs w:val="0"/>
                <w:caps w:val="0"/>
                <w:color w:val="000000"/>
                <w:spacing w:val="0"/>
                <w:sz w:val="24"/>
                <w:szCs w:val="24"/>
                <w:bdr w:val="none" w:color="auto" w:sz="0" w:space="0"/>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黑体" w:hAnsi="宋体" w:eastAsia="黑体" w:cs="黑体"/>
                <w:b w:val="0"/>
                <w:bCs w:val="0"/>
                <w:i w:val="0"/>
                <w:iCs w:val="0"/>
                <w:caps w:val="0"/>
                <w:color w:val="000000"/>
                <w:spacing w:val="0"/>
                <w:sz w:val="24"/>
                <w:szCs w:val="24"/>
                <w:bdr w:val="none" w:color="auto" w:sz="0" w:space="0"/>
              </w:rPr>
              <w:t>指标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黑体" w:hAnsi="宋体" w:eastAsia="黑体" w:cs="黑体"/>
                <w:b w:val="0"/>
                <w:bCs w:val="0"/>
                <w:i w:val="0"/>
                <w:iCs w:val="0"/>
                <w:caps w:val="0"/>
                <w:color w:val="000000"/>
                <w:spacing w:val="0"/>
                <w:sz w:val="24"/>
                <w:szCs w:val="24"/>
                <w:bdr w:val="none" w:color="auto" w:sz="0" w:space="0"/>
              </w:rPr>
              <w:t>分值</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黑体" w:hAnsi="宋体" w:eastAsia="黑体" w:cs="黑体"/>
                <w:b w:val="0"/>
                <w:bCs w:val="0"/>
                <w:i w:val="0"/>
                <w:iCs w:val="0"/>
                <w:caps w:val="0"/>
                <w:color w:val="000000"/>
                <w:spacing w:val="0"/>
                <w:sz w:val="24"/>
                <w:szCs w:val="24"/>
                <w:bdr w:val="none" w:color="auto" w:sz="0" w:space="0"/>
              </w:rPr>
              <w:t>指标解释</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黑体" w:hAnsi="宋体" w:eastAsia="黑体" w:cs="黑体"/>
                <w:b w:val="0"/>
                <w:bCs w:val="0"/>
                <w:i w:val="0"/>
                <w:iCs w:val="0"/>
                <w:caps w:val="0"/>
                <w:color w:val="000000"/>
                <w:spacing w:val="0"/>
                <w:sz w:val="24"/>
                <w:szCs w:val="24"/>
                <w:bdr w:val="none" w:color="auto" w:sz="0" w:space="0"/>
              </w:rPr>
              <w:t>评分标准</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黑体" w:hAnsi="宋体" w:eastAsia="黑体" w:cs="黑体"/>
                <w:b w:val="0"/>
                <w:bCs w:val="0"/>
                <w:i w:val="0"/>
                <w:iCs w:val="0"/>
                <w:caps w:val="0"/>
                <w:color w:val="000000"/>
                <w:spacing w:val="0"/>
                <w:sz w:val="24"/>
                <w:szCs w:val="24"/>
                <w:bdr w:val="none" w:color="auto" w:sz="0" w:space="0"/>
              </w:rPr>
              <w:t>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黑体" w:hAnsi="宋体" w:eastAsia="黑体" w:cs="黑体"/>
                <w:b w:val="0"/>
                <w:bCs w:val="0"/>
                <w:i w:val="0"/>
                <w:iCs w:val="0"/>
                <w:caps w:val="0"/>
                <w:color w:val="000000"/>
                <w:spacing w:val="0"/>
                <w:sz w:val="24"/>
                <w:szCs w:val="24"/>
                <w:bdr w:val="none" w:color="auto" w:sz="0" w:space="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60" w:hRule="atLeast"/>
        </w:trPr>
        <w:tc>
          <w:tcPr>
            <w:tcW w:w="555"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投</w:t>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入</w:t>
            </w:r>
          </w:p>
        </w:tc>
        <w:tc>
          <w:tcPr>
            <w:tcW w:w="58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目标</w:t>
            </w:r>
            <w:r>
              <w:rPr>
                <w:rFonts w:hint="default" w:ascii="Times New Roman" w:hAnsi="Times New Roman" w:eastAsia="Helvetica" w:cs="Times New Roman"/>
                <w:b w:val="0"/>
                <w:bCs w:val="0"/>
                <w:i w:val="0"/>
                <w:iCs w:val="0"/>
                <w:caps w:val="0"/>
                <w:color w:val="000000"/>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设定</w:t>
            </w: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绩效目标合理性</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部门（单位）所设立的整体绩效目标依据是否充分，是否符合客观实际，用以反映和考核部门（单位）整体绩效目标与部门履职、年度工作任务的相符性情况。</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①</w:t>
            </w:r>
            <w:r>
              <w:rPr>
                <w:rFonts w:hint="eastAsia" w:ascii="仿宋" w:hAnsi="仿宋" w:eastAsia="仿宋" w:cs="仿宋"/>
                <w:b w:val="0"/>
                <w:bCs w:val="0"/>
                <w:i w:val="0"/>
                <w:iCs w:val="0"/>
                <w:caps w:val="0"/>
                <w:color w:val="000000"/>
                <w:spacing w:val="0"/>
                <w:sz w:val="24"/>
                <w:szCs w:val="24"/>
                <w:bdr w:val="none" w:color="auto" w:sz="0" w:space="0"/>
              </w:rPr>
              <w:t>符合国家法律法规、国民经济和社会发展总体规划，得</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②</w:t>
            </w:r>
            <w:r>
              <w:rPr>
                <w:rFonts w:hint="eastAsia" w:ascii="仿宋" w:hAnsi="仿宋" w:eastAsia="仿宋" w:cs="仿宋"/>
                <w:b w:val="0"/>
                <w:bCs w:val="0"/>
                <w:i w:val="0"/>
                <w:iCs w:val="0"/>
                <w:caps w:val="0"/>
                <w:color w:val="000000"/>
                <w:spacing w:val="0"/>
                <w:sz w:val="24"/>
                <w:szCs w:val="24"/>
                <w:bdr w:val="none" w:color="auto" w:sz="0" w:space="0"/>
              </w:rPr>
              <w:t>符合部门职责，得</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③</w:t>
            </w:r>
            <w:r>
              <w:rPr>
                <w:rFonts w:hint="eastAsia" w:ascii="仿宋" w:hAnsi="仿宋" w:eastAsia="仿宋" w:cs="仿宋"/>
                <w:b w:val="0"/>
                <w:bCs w:val="0"/>
                <w:i w:val="0"/>
                <w:iCs w:val="0"/>
                <w:caps w:val="0"/>
                <w:color w:val="000000"/>
                <w:spacing w:val="0"/>
                <w:sz w:val="24"/>
                <w:szCs w:val="24"/>
                <w:bdr w:val="none" w:color="auto" w:sz="0" w:space="0"/>
              </w:rPr>
              <w:t>符合部门制定的中长期实施规划，得</w:t>
            </w:r>
            <w:r>
              <w:rPr>
                <w:rFonts w:hint="default" w:ascii="Times New Roman" w:hAnsi="Times New Roman" w:eastAsia="Helvetica" w:cs="Times New Roman"/>
                <w:b w:val="0"/>
                <w:bCs w:val="0"/>
                <w:i w:val="0"/>
                <w:iCs w:val="0"/>
                <w:caps w:val="0"/>
                <w:color w:val="000000"/>
                <w:spacing w:val="0"/>
                <w:sz w:val="24"/>
                <w:szCs w:val="24"/>
                <w:bdr w:val="none" w:color="auto" w:sz="0" w:space="0"/>
              </w:rPr>
              <w:t>3</w:t>
            </w:r>
            <w:r>
              <w:rPr>
                <w:rFonts w:hint="eastAsia" w:ascii="仿宋" w:hAnsi="仿宋" w:eastAsia="仿宋" w:cs="仿宋"/>
                <w:b w:val="0"/>
                <w:bCs w:val="0"/>
                <w:i w:val="0"/>
                <w:iCs w:val="0"/>
                <w:caps w:val="0"/>
                <w:color w:val="000000"/>
                <w:spacing w:val="0"/>
                <w:sz w:val="24"/>
                <w:szCs w:val="24"/>
                <w:bdr w:val="none" w:color="auto" w:sz="0" w:space="0"/>
              </w:rPr>
              <w:t>分。</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0"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绩效指标明确性</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7</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部门（单位）依据整体绩效目标所设定的绩效指标是否清晰、细化、可衡量，用以反映和考核部门（单位）整体绩效目标的明细化情况。</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①</w:t>
            </w:r>
            <w:r>
              <w:rPr>
                <w:rFonts w:hint="eastAsia" w:ascii="仿宋" w:hAnsi="仿宋" w:eastAsia="仿宋" w:cs="仿宋"/>
                <w:b w:val="0"/>
                <w:bCs w:val="0"/>
                <w:i w:val="0"/>
                <w:iCs w:val="0"/>
                <w:caps w:val="0"/>
                <w:color w:val="000000"/>
                <w:spacing w:val="0"/>
                <w:sz w:val="24"/>
                <w:szCs w:val="24"/>
                <w:bdr w:val="none" w:color="auto" w:sz="0" w:space="0"/>
              </w:rPr>
              <w:t>将部门整体的绩效目标细化分解为具体的工作任务，得</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②</w:t>
            </w:r>
            <w:r>
              <w:rPr>
                <w:rFonts w:hint="eastAsia" w:ascii="仿宋" w:hAnsi="仿宋" w:eastAsia="仿宋" w:cs="仿宋"/>
                <w:b w:val="0"/>
                <w:bCs w:val="0"/>
                <w:i w:val="0"/>
                <w:iCs w:val="0"/>
                <w:caps w:val="0"/>
                <w:color w:val="000000"/>
                <w:spacing w:val="0"/>
                <w:sz w:val="24"/>
                <w:szCs w:val="24"/>
                <w:bdr w:val="none" w:color="auto" w:sz="0" w:space="0"/>
              </w:rPr>
              <w:t>通过清晰、可衡量的指标值予以体现，得</w:t>
            </w:r>
            <w:r>
              <w:rPr>
                <w:rFonts w:hint="default" w:ascii="Times New Roman" w:hAnsi="Times New Roman" w:eastAsia="Helvetica" w:cs="Times New Roman"/>
                <w:b w:val="0"/>
                <w:bCs w:val="0"/>
                <w:i w:val="0"/>
                <w:iCs w:val="0"/>
                <w:caps w:val="0"/>
                <w:color w:val="000000"/>
                <w:spacing w:val="0"/>
                <w:sz w:val="24"/>
                <w:szCs w:val="24"/>
                <w:bdr w:val="none" w:color="auto" w:sz="0" w:space="0"/>
              </w:rPr>
              <w:t>2</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③</w:t>
            </w:r>
            <w:r>
              <w:rPr>
                <w:rFonts w:hint="eastAsia" w:ascii="仿宋" w:hAnsi="仿宋" w:eastAsia="仿宋" w:cs="仿宋"/>
                <w:b w:val="0"/>
                <w:bCs w:val="0"/>
                <w:i w:val="0"/>
                <w:iCs w:val="0"/>
                <w:caps w:val="0"/>
                <w:color w:val="000000"/>
                <w:spacing w:val="0"/>
                <w:sz w:val="24"/>
                <w:szCs w:val="24"/>
                <w:bdr w:val="none" w:color="auto" w:sz="0" w:space="0"/>
              </w:rPr>
              <w:t>与部门年度的任务数或计划数相对应，得</w:t>
            </w:r>
            <w:r>
              <w:rPr>
                <w:rFonts w:hint="default" w:ascii="Times New Roman" w:hAnsi="Times New Roman" w:eastAsia="Helvetica" w:cs="Times New Roman"/>
                <w:b w:val="0"/>
                <w:bCs w:val="0"/>
                <w:i w:val="0"/>
                <w:iCs w:val="0"/>
                <w:caps w:val="0"/>
                <w:color w:val="000000"/>
                <w:spacing w:val="0"/>
                <w:sz w:val="24"/>
                <w:szCs w:val="24"/>
                <w:bdr w:val="none" w:color="auto" w:sz="0" w:space="0"/>
              </w:rPr>
              <w:t>2</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④</w:t>
            </w:r>
            <w:r>
              <w:rPr>
                <w:rFonts w:hint="eastAsia" w:ascii="仿宋" w:hAnsi="仿宋" w:eastAsia="仿宋" w:cs="仿宋"/>
                <w:b w:val="0"/>
                <w:bCs w:val="0"/>
                <w:i w:val="0"/>
                <w:iCs w:val="0"/>
                <w:caps w:val="0"/>
                <w:color w:val="000000"/>
                <w:spacing w:val="0"/>
                <w:sz w:val="24"/>
                <w:szCs w:val="24"/>
                <w:bdr w:val="none" w:color="auto" w:sz="0" w:space="0"/>
              </w:rPr>
              <w:t>与本年度部门预算资金相匹配，得</w:t>
            </w:r>
            <w:r>
              <w:rPr>
                <w:rFonts w:hint="default" w:ascii="Times New Roman" w:hAnsi="Times New Roman" w:eastAsia="Helvetica" w:cs="Times New Roman"/>
                <w:b w:val="0"/>
                <w:bCs w:val="0"/>
                <w:i w:val="0"/>
                <w:iCs w:val="0"/>
                <w:caps w:val="0"/>
                <w:color w:val="000000"/>
                <w:spacing w:val="0"/>
                <w:sz w:val="24"/>
                <w:szCs w:val="24"/>
                <w:bdr w:val="none" w:color="auto" w:sz="0" w:space="0"/>
              </w:rPr>
              <w:t>2</w:t>
            </w:r>
            <w:r>
              <w:rPr>
                <w:rFonts w:hint="eastAsia" w:ascii="仿宋" w:hAnsi="仿宋" w:eastAsia="仿宋" w:cs="仿宋"/>
                <w:b w:val="0"/>
                <w:bCs w:val="0"/>
                <w:i w:val="0"/>
                <w:iCs w:val="0"/>
                <w:caps w:val="0"/>
                <w:color w:val="000000"/>
                <w:spacing w:val="0"/>
                <w:sz w:val="24"/>
                <w:szCs w:val="24"/>
                <w:bdr w:val="none" w:color="auto" w:sz="0" w:space="0"/>
              </w:rPr>
              <w:t>分。</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46"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预算</w:t>
            </w:r>
            <w:r>
              <w:rPr>
                <w:rFonts w:hint="default" w:ascii="Times New Roman" w:hAnsi="Times New Roman" w:eastAsia="Helvetica" w:cs="Times New Roman"/>
                <w:b w:val="0"/>
                <w:bCs w:val="0"/>
                <w:i w:val="0"/>
                <w:iCs w:val="0"/>
                <w:caps w:val="0"/>
                <w:color w:val="000000"/>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配置</w:t>
            </w: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在职人员控制率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3</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在职人员控制率</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（在职人员数</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编制数）</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在职人员数：部门（单位）实际在职人数，以财政部门确定的部门决算编制口径为准。扣掉编制部门和劳动部门批复同意的临聘人员。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编制数：机构编制部门核定批复的部门（单位）的人员编制数。</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在职人员控制率</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3</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每超过一个百分点扣</w:t>
            </w:r>
            <w:r>
              <w:rPr>
                <w:rFonts w:hint="default" w:ascii="Times New Roman" w:hAnsi="Times New Roman" w:eastAsia="Helvetica" w:cs="Times New Roman"/>
                <w:b w:val="0"/>
                <w:bCs w:val="0"/>
                <w:i w:val="0"/>
                <w:iCs w:val="0"/>
                <w:caps w:val="0"/>
                <w:color w:val="000000"/>
                <w:spacing w:val="0"/>
                <w:sz w:val="24"/>
                <w:szCs w:val="24"/>
                <w:bdr w:val="none" w:color="auto" w:sz="0" w:space="0"/>
              </w:rPr>
              <w:t>0.5</w:t>
            </w:r>
            <w:r>
              <w:rPr>
                <w:rFonts w:hint="eastAsia" w:ascii="仿宋" w:hAnsi="仿宋" w:eastAsia="仿宋" w:cs="仿宋"/>
                <w:b w:val="0"/>
                <w:bCs w:val="0"/>
                <w:i w:val="0"/>
                <w:iCs w:val="0"/>
                <w:caps w:val="0"/>
                <w:color w:val="000000"/>
                <w:spacing w:val="0"/>
                <w:sz w:val="24"/>
                <w:szCs w:val="24"/>
                <w:bdr w:val="none" w:color="auto" w:sz="0" w:space="0"/>
              </w:rPr>
              <w:t>分，扣完为止。</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86"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三公经费</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变动率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三公经费</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变动率</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（本年度</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三公经费</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预算数</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上年度</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三公经费</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预算数）</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上年度</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三公经费</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预算数</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三公经费</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：年度预算安排的因公出国（境）费、公务车辆购置及运行费和公务招待费。</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三公经费</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变动率</w:t>
            </w:r>
            <w:r>
              <w:rPr>
                <w:rFonts w:hint="default" w:ascii="Times New Roman" w:hAnsi="Times New Roman" w:eastAsia="Helvetica" w:cs="Times New Roman"/>
                <w:b w:val="0"/>
                <w:bCs w:val="0"/>
                <w:i w:val="0"/>
                <w:iCs w:val="0"/>
                <w:caps w:val="0"/>
                <w:color w:val="000000"/>
                <w:spacing w:val="0"/>
                <w:sz w:val="24"/>
                <w:szCs w:val="24"/>
                <w:bdr w:val="none" w:color="auto" w:sz="0" w:space="0"/>
              </w:rPr>
              <w:t>≤0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5</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每超过一个百分点扣</w:t>
            </w:r>
            <w:r>
              <w:rPr>
                <w:rFonts w:hint="default" w:ascii="Times New Roman" w:hAnsi="Times New Roman" w:eastAsia="Helvetica" w:cs="Times New Roman"/>
                <w:b w:val="0"/>
                <w:bCs w:val="0"/>
                <w:i w:val="0"/>
                <w:iCs w:val="0"/>
                <w:caps w:val="0"/>
                <w:color w:val="000000"/>
                <w:spacing w:val="0"/>
                <w:sz w:val="24"/>
                <w:szCs w:val="24"/>
                <w:bdr w:val="none" w:color="auto" w:sz="0" w:space="0"/>
              </w:rPr>
              <w:t>0.5</w:t>
            </w:r>
            <w:r>
              <w:rPr>
                <w:rFonts w:hint="eastAsia" w:ascii="仿宋" w:hAnsi="仿宋" w:eastAsia="仿宋" w:cs="仿宋"/>
                <w:b w:val="0"/>
                <w:bCs w:val="0"/>
                <w:i w:val="0"/>
                <w:iCs w:val="0"/>
                <w:caps w:val="0"/>
                <w:color w:val="000000"/>
                <w:spacing w:val="0"/>
                <w:sz w:val="24"/>
                <w:szCs w:val="24"/>
                <w:bdr w:val="none" w:color="auto" w:sz="0" w:space="0"/>
              </w:rPr>
              <w:t>分，扣完为止。</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81"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重点支出安排率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重点支出安排率</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（重点项目支出</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项目总支出）</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重点项目支出：部门（单位）年度预算安排的，与本部门履职和发展密切相关、具有明显社会和经济影响、党委政府关心或社会比较关注的项目支出总额。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项目总支出：部门（单位）年度预算安排的项目支出总额。</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重点支出安排率</w:t>
            </w:r>
            <w:r>
              <w:rPr>
                <w:rFonts w:hint="default" w:ascii="Times New Roman" w:hAnsi="Times New Roman" w:eastAsia="Helvetica" w:cs="Times New Roman"/>
                <w:b w:val="0"/>
                <w:bCs w:val="0"/>
                <w:i w:val="0"/>
                <w:iCs w:val="0"/>
                <w:caps w:val="0"/>
                <w:color w:val="000000"/>
                <w:spacing w:val="0"/>
                <w:sz w:val="24"/>
                <w:szCs w:val="24"/>
                <w:bdr w:val="none" w:color="auto" w:sz="0" w:space="0"/>
              </w:rPr>
              <w:t>≥90%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5</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80%</w:t>
            </w:r>
            <w:r>
              <w:rPr>
                <w:rFonts w:hint="eastAsia" w:ascii="仿宋" w:hAnsi="仿宋" w:eastAsia="仿宋" w:cs="仿宋"/>
                <w:b w:val="0"/>
                <w:bCs w:val="0"/>
                <w:i w:val="0"/>
                <w:iCs w:val="0"/>
                <w:caps w:val="0"/>
                <w:color w:val="000000"/>
                <w:spacing w:val="0"/>
                <w:sz w:val="24"/>
                <w:szCs w:val="24"/>
                <w:bdr w:val="none" w:color="auto" w:sz="0" w:space="0"/>
              </w:rPr>
              <w:t>（含）</w:t>
            </w:r>
            <w:r>
              <w:rPr>
                <w:rFonts w:hint="default" w:ascii="Times New Roman" w:hAnsi="Times New Roman" w:eastAsia="Helvetica" w:cs="Times New Roman"/>
                <w:b w:val="0"/>
                <w:bCs w:val="0"/>
                <w:i w:val="0"/>
                <w:iCs w:val="0"/>
                <w:caps w:val="0"/>
                <w:color w:val="000000"/>
                <w:spacing w:val="0"/>
                <w:sz w:val="24"/>
                <w:szCs w:val="24"/>
                <w:bdr w:val="none" w:color="auto" w:sz="0" w:space="0"/>
              </w:rPr>
              <w:t>-90%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4</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70%</w:t>
            </w:r>
            <w:r>
              <w:rPr>
                <w:rFonts w:hint="eastAsia" w:ascii="仿宋" w:hAnsi="仿宋" w:eastAsia="仿宋" w:cs="仿宋"/>
                <w:b w:val="0"/>
                <w:bCs w:val="0"/>
                <w:i w:val="0"/>
                <w:iCs w:val="0"/>
                <w:caps w:val="0"/>
                <w:color w:val="000000"/>
                <w:spacing w:val="0"/>
                <w:sz w:val="24"/>
                <w:szCs w:val="24"/>
                <w:bdr w:val="none" w:color="auto" w:sz="0" w:space="0"/>
              </w:rPr>
              <w:t>（含）</w:t>
            </w:r>
            <w:r>
              <w:rPr>
                <w:rFonts w:hint="default" w:ascii="Times New Roman" w:hAnsi="Times New Roman" w:eastAsia="Helvetica" w:cs="Times New Roman"/>
                <w:b w:val="0"/>
                <w:bCs w:val="0"/>
                <w:i w:val="0"/>
                <w:iCs w:val="0"/>
                <w:caps w:val="0"/>
                <w:color w:val="000000"/>
                <w:spacing w:val="0"/>
                <w:sz w:val="24"/>
                <w:szCs w:val="24"/>
                <w:bdr w:val="none" w:color="auto" w:sz="0" w:space="0"/>
              </w:rPr>
              <w:t>-80%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3</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60%</w:t>
            </w:r>
            <w:r>
              <w:rPr>
                <w:rFonts w:hint="eastAsia" w:ascii="仿宋" w:hAnsi="仿宋" w:eastAsia="仿宋" w:cs="仿宋"/>
                <w:b w:val="0"/>
                <w:bCs w:val="0"/>
                <w:i w:val="0"/>
                <w:iCs w:val="0"/>
                <w:caps w:val="0"/>
                <w:color w:val="000000"/>
                <w:spacing w:val="0"/>
                <w:sz w:val="24"/>
                <w:szCs w:val="24"/>
                <w:bdr w:val="none" w:color="auto" w:sz="0" w:space="0"/>
              </w:rPr>
              <w:t>（含）</w:t>
            </w:r>
            <w:r>
              <w:rPr>
                <w:rFonts w:hint="default" w:ascii="Times New Roman" w:hAnsi="Times New Roman" w:eastAsia="Helvetica" w:cs="Times New Roman"/>
                <w:b w:val="0"/>
                <w:bCs w:val="0"/>
                <w:i w:val="0"/>
                <w:iCs w:val="0"/>
                <w:caps w:val="0"/>
                <w:color w:val="000000"/>
                <w:spacing w:val="0"/>
                <w:sz w:val="24"/>
                <w:szCs w:val="24"/>
                <w:bdr w:val="none" w:color="auto" w:sz="0" w:space="0"/>
              </w:rPr>
              <w:t>-70%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2</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w:t>
            </w:r>
            <w:r>
              <w:rPr>
                <w:rFonts w:hint="default" w:ascii="Times New Roman" w:hAnsi="Times New Roman" w:eastAsia="Helvetica" w:cs="Times New Roman"/>
                <w:b w:val="0"/>
                <w:bCs w:val="0"/>
                <w:i w:val="0"/>
                <w:iCs w:val="0"/>
                <w:caps w:val="0"/>
                <w:color w:val="000000"/>
                <w:spacing w:val="0"/>
                <w:sz w:val="24"/>
                <w:szCs w:val="24"/>
                <w:bdr w:val="none" w:color="auto" w:sz="0" w:space="0"/>
              </w:rPr>
              <w:t>60%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0</w:t>
            </w:r>
            <w:r>
              <w:rPr>
                <w:rFonts w:hint="eastAsia" w:ascii="仿宋" w:hAnsi="仿宋" w:eastAsia="仿宋" w:cs="仿宋"/>
                <w:b w:val="0"/>
                <w:bCs w:val="0"/>
                <w:i w:val="0"/>
                <w:iCs w:val="0"/>
                <w:caps w:val="0"/>
                <w:color w:val="000000"/>
                <w:spacing w:val="0"/>
                <w:sz w:val="24"/>
                <w:szCs w:val="24"/>
                <w:bdr w:val="none" w:color="auto" w:sz="0" w:space="0"/>
              </w:rPr>
              <w:t>分。</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rPr>
        <w:tc>
          <w:tcPr>
            <w:tcW w:w="555"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过</w:t>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程</w:t>
            </w:r>
          </w:p>
        </w:tc>
        <w:tc>
          <w:tcPr>
            <w:tcW w:w="58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预算</w:t>
            </w:r>
            <w:r>
              <w:rPr>
                <w:rFonts w:hint="default" w:ascii="Times New Roman" w:hAnsi="Times New Roman" w:eastAsia="Helvetica" w:cs="Times New Roman"/>
                <w:b w:val="0"/>
                <w:bCs w:val="0"/>
                <w:i w:val="0"/>
                <w:iCs w:val="0"/>
                <w:caps w:val="0"/>
                <w:color w:val="000000"/>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执行</w:t>
            </w: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预算完成率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4</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预算完成率</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（上年结转</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年初预算</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本年追加</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年末结余）</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（上年结转</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年初预算</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本年追加）</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预算完成率</w:t>
            </w:r>
            <w:r>
              <w:rPr>
                <w:rFonts w:hint="default" w:ascii="Times New Roman" w:hAnsi="Times New Roman" w:eastAsia="Helvetica" w:cs="Times New Roman"/>
                <w:b w:val="0"/>
                <w:bCs w:val="0"/>
                <w:i w:val="0"/>
                <w:iCs w:val="0"/>
                <w:caps w:val="0"/>
                <w:color w:val="000000"/>
                <w:spacing w:val="0"/>
                <w:sz w:val="24"/>
                <w:szCs w:val="24"/>
                <w:bdr w:val="none" w:color="auto" w:sz="0" w:space="0"/>
              </w:rPr>
              <w:t>≥95%</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4</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每降低</w:t>
            </w:r>
            <w:r>
              <w:rPr>
                <w:rFonts w:hint="default" w:ascii="Times New Roman" w:hAnsi="Times New Roman" w:eastAsia="Helvetica" w:cs="Times New Roman"/>
                <w:b w:val="0"/>
                <w:bCs w:val="0"/>
                <w:i w:val="0"/>
                <w:iCs w:val="0"/>
                <w:caps w:val="0"/>
                <w:color w:val="000000"/>
                <w:spacing w:val="0"/>
                <w:sz w:val="24"/>
                <w:szCs w:val="24"/>
                <w:bdr w:val="none" w:color="auto" w:sz="0" w:space="0"/>
              </w:rPr>
              <w:t>5%</w:t>
            </w:r>
            <w:r>
              <w:rPr>
                <w:rFonts w:hint="eastAsia" w:ascii="仿宋" w:hAnsi="仿宋" w:eastAsia="仿宋" w:cs="仿宋"/>
                <w:b w:val="0"/>
                <w:bCs w:val="0"/>
                <w:i w:val="0"/>
                <w:iCs w:val="0"/>
                <w:caps w:val="0"/>
                <w:color w:val="000000"/>
                <w:spacing w:val="0"/>
                <w:sz w:val="24"/>
                <w:szCs w:val="24"/>
                <w:bdr w:val="none" w:color="auto" w:sz="0" w:space="0"/>
              </w:rPr>
              <w:t>，扣</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分，扣完为止。</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60"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预算调整率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预算调整率</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（本年追加预算</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年初预算）</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本年追加预算：部门（单位）在本年度内涉及预算的追加资金总和（因落实国家政策、发生不可抗力、上级部门或本级党委政府临时交办而产生的调整除外）。</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预算调整率</w:t>
            </w:r>
            <w:r>
              <w:rPr>
                <w:rFonts w:hint="default" w:ascii="Times New Roman" w:hAnsi="Times New Roman" w:eastAsia="Helvetica" w:cs="Times New Roman"/>
                <w:b w:val="0"/>
                <w:bCs w:val="0"/>
                <w:i w:val="0"/>
                <w:iCs w:val="0"/>
                <w:caps w:val="0"/>
                <w:color w:val="000000"/>
                <w:spacing w:val="0"/>
                <w:sz w:val="24"/>
                <w:szCs w:val="24"/>
                <w:bdr w:val="none" w:color="auto" w:sz="0" w:space="0"/>
              </w:rPr>
              <w:t>≤5%</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2</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5%-10%</w:t>
            </w:r>
            <w:r>
              <w:rPr>
                <w:rFonts w:hint="eastAsia" w:ascii="仿宋" w:hAnsi="仿宋" w:eastAsia="仿宋" w:cs="仿宋"/>
                <w:b w:val="0"/>
                <w:bCs w:val="0"/>
                <w:i w:val="0"/>
                <w:iCs w:val="0"/>
                <w:caps w:val="0"/>
                <w:color w:val="000000"/>
                <w:spacing w:val="0"/>
                <w:sz w:val="24"/>
                <w:szCs w:val="24"/>
                <w:bdr w:val="none" w:color="auto" w:sz="0" w:space="0"/>
              </w:rPr>
              <w:t>（含），得</w:t>
            </w:r>
            <w:r>
              <w:rPr>
                <w:rFonts w:hint="default" w:ascii="Times New Roman" w:hAnsi="Times New Roman" w:eastAsia="Helvetica" w:cs="Times New Roman"/>
                <w:b w:val="0"/>
                <w:bCs w:val="0"/>
                <w:i w:val="0"/>
                <w:iCs w:val="0"/>
                <w:caps w:val="0"/>
                <w:color w:val="000000"/>
                <w:spacing w:val="0"/>
                <w:sz w:val="24"/>
                <w:szCs w:val="24"/>
                <w:bdr w:val="none" w:color="auto" w:sz="0" w:space="0"/>
              </w:rPr>
              <w:t>1.5</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10%-15%</w:t>
            </w:r>
            <w:r>
              <w:rPr>
                <w:rFonts w:hint="eastAsia" w:ascii="仿宋" w:hAnsi="仿宋" w:eastAsia="仿宋" w:cs="仿宋"/>
                <w:b w:val="0"/>
                <w:bCs w:val="0"/>
                <w:i w:val="0"/>
                <w:iCs w:val="0"/>
                <w:caps w:val="0"/>
                <w:color w:val="000000"/>
                <w:spacing w:val="0"/>
                <w:sz w:val="24"/>
                <w:szCs w:val="24"/>
                <w:bdr w:val="none" w:color="auto" w:sz="0" w:space="0"/>
              </w:rPr>
              <w:t>（含），得</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15%-20%</w:t>
            </w:r>
            <w:r>
              <w:rPr>
                <w:rFonts w:hint="eastAsia" w:ascii="仿宋" w:hAnsi="仿宋" w:eastAsia="仿宋" w:cs="仿宋"/>
                <w:b w:val="0"/>
                <w:bCs w:val="0"/>
                <w:i w:val="0"/>
                <w:iCs w:val="0"/>
                <w:caps w:val="0"/>
                <w:color w:val="000000"/>
                <w:spacing w:val="0"/>
                <w:sz w:val="24"/>
                <w:szCs w:val="24"/>
                <w:bdr w:val="none" w:color="auto" w:sz="0" w:space="0"/>
              </w:rPr>
              <w:t>（含），得</w:t>
            </w:r>
            <w:r>
              <w:rPr>
                <w:rFonts w:hint="default" w:ascii="Times New Roman" w:hAnsi="Times New Roman" w:eastAsia="Helvetica" w:cs="Times New Roman"/>
                <w:b w:val="0"/>
                <w:bCs w:val="0"/>
                <w:i w:val="0"/>
                <w:iCs w:val="0"/>
                <w:caps w:val="0"/>
                <w:color w:val="000000"/>
                <w:spacing w:val="0"/>
                <w:sz w:val="24"/>
                <w:szCs w:val="24"/>
                <w:bdr w:val="none" w:color="auto" w:sz="0" w:space="0"/>
              </w:rPr>
              <w:t>0.5</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w:t>
            </w:r>
            <w:r>
              <w:rPr>
                <w:rFonts w:hint="default" w:ascii="Times New Roman" w:hAnsi="Times New Roman" w:eastAsia="Helvetica" w:cs="Times New Roman"/>
                <w:b w:val="0"/>
                <w:bCs w:val="0"/>
                <w:i w:val="0"/>
                <w:iCs w:val="0"/>
                <w:caps w:val="0"/>
                <w:color w:val="000000"/>
                <w:spacing w:val="0"/>
                <w:sz w:val="24"/>
                <w:szCs w:val="24"/>
                <w:bdr w:val="none" w:color="auto" w:sz="0" w:space="0"/>
              </w:rPr>
              <w:t>20%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0</w:t>
            </w:r>
            <w:r>
              <w:rPr>
                <w:rFonts w:hint="eastAsia" w:ascii="仿宋" w:hAnsi="仿宋" w:eastAsia="仿宋" w:cs="仿宋"/>
                <w:b w:val="0"/>
                <w:bCs w:val="0"/>
                <w:i w:val="0"/>
                <w:iCs w:val="0"/>
                <w:caps w:val="0"/>
                <w:color w:val="000000"/>
                <w:spacing w:val="0"/>
                <w:sz w:val="24"/>
                <w:szCs w:val="24"/>
                <w:bdr w:val="none" w:color="auto" w:sz="0" w:space="0"/>
              </w:rPr>
              <w:t>分。</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新建楼堂馆所面积控制率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楼堂馆所面积控制率</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实际建设面积</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批准建设面积</w:t>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×100% </w:t>
            </w:r>
            <w:r>
              <w:rPr>
                <w:rFonts w:hint="eastAsia" w:ascii="仿宋" w:hAnsi="仿宋" w:eastAsia="仿宋" w:cs="仿宋"/>
                <w:b w:val="0"/>
                <w:bCs w:val="0"/>
                <w:i w:val="0"/>
                <w:iCs w:val="0"/>
                <w:caps w:val="0"/>
                <w:color w:val="000000"/>
                <w:spacing w:val="0"/>
                <w:sz w:val="24"/>
                <w:szCs w:val="24"/>
                <w:bdr w:val="none" w:color="auto" w:sz="0" w:space="0"/>
              </w:rPr>
              <w:t>。</w:t>
            </w:r>
            <w:r>
              <w:rPr>
                <w:rFonts w:hint="default" w:ascii="Times New Roman" w:hAnsi="Times New Roman" w:eastAsia="Helvetica" w:cs="Times New Roman"/>
                <w:b w:val="0"/>
                <w:bCs w:val="0"/>
                <w:i w:val="0"/>
                <w:iCs w:val="0"/>
                <w:caps w:val="0"/>
                <w:color w:val="000000"/>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该指标以</w:t>
            </w:r>
            <w:r>
              <w:rPr>
                <w:rFonts w:hint="default" w:ascii="Times New Roman" w:hAnsi="Times New Roman" w:eastAsia="Helvetica" w:cs="Times New Roman"/>
                <w:b w:val="0"/>
                <w:bCs w:val="0"/>
                <w:i w:val="0"/>
                <w:iCs w:val="0"/>
                <w:caps w:val="0"/>
                <w:color w:val="000000"/>
                <w:spacing w:val="0"/>
                <w:sz w:val="24"/>
                <w:szCs w:val="24"/>
                <w:bdr w:val="none" w:color="auto" w:sz="0" w:space="0"/>
              </w:rPr>
              <w:t>20××</w:t>
            </w:r>
            <w:r>
              <w:rPr>
                <w:rFonts w:hint="eastAsia" w:ascii="仿宋" w:hAnsi="仿宋" w:eastAsia="仿宋" w:cs="仿宋"/>
                <w:b w:val="0"/>
                <w:bCs w:val="0"/>
                <w:i w:val="0"/>
                <w:iCs w:val="0"/>
                <w:caps w:val="0"/>
                <w:color w:val="000000"/>
                <w:spacing w:val="0"/>
                <w:sz w:val="24"/>
                <w:szCs w:val="24"/>
                <w:bdr w:val="none" w:color="auto" w:sz="0" w:space="0"/>
              </w:rPr>
              <w:t>年完工的新建楼堂馆所为评价内容。</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楼堂馆所面积控制率</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2</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每超出</w:t>
            </w:r>
            <w:r>
              <w:rPr>
                <w:rFonts w:hint="default" w:ascii="Times New Roman" w:hAnsi="Times New Roman" w:eastAsia="Helvetica" w:cs="Times New Roman"/>
                <w:b w:val="0"/>
                <w:bCs w:val="0"/>
                <w:i w:val="0"/>
                <w:iCs w:val="0"/>
                <w:caps w:val="0"/>
                <w:color w:val="000000"/>
                <w:spacing w:val="0"/>
                <w:sz w:val="24"/>
                <w:szCs w:val="24"/>
                <w:bdr w:val="none" w:color="auto" w:sz="0" w:space="0"/>
              </w:rPr>
              <w:t>5%</w:t>
            </w:r>
            <w:r>
              <w:rPr>
                <w:rFonts w:hint="eastAsia" w:ascii="仿宋" w:hAnsi="仿宋" w:eastAsia="仿宋" w:cs="仿宋"/>
                <w:b w:val="0"/>
                <w:bCs w:val="0"/>
                <w:i w:val="0"/>
                <w:iCs w:val="0"/>
                <w:caps w:val="0"/>
                <w:color w:val="000000"/>
                <w:spacing w:val="0"/>
                <w:sz w:val="24"/>
                <w:szCs w:val="24"/>
                <w:bdr w:val="none" w:color="auto" w:sz="0" w:space="0"/>
              </w:rPr>
              <w:t>扣</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分，扣完为止。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没有楼梯馆所项目的部门剔除此项指标。</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11"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新建楼堂馆所投资概算控制率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楼堂馆所投资预算控制率</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实际投资金额</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批准投资金额</w:t>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×100% </w:t>
            </w:r>
            <w:r>
              <w:rPr>
                <w:rFonts w:hint="eastAsia" w:ascii="仿宋" w:hAnsi="仿宋" w:eastAsia="仿宋" w:cs="仿宋"/>
                <w:b w:val="0"/>
                <w:bCs w:val="0"/>
                <w:i w:val="0"/>
                <w:iCs w:val="0"/>
                <w:caps w:val="0"/>
                <w:color w:val="000000"/>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该指标以</w:t>
            </w:r>
            <w:r>
              <w:rPr>
                <w:rFonts w:hint="default" w:ascii="Times New Roman" w:hAnsi="Times New Roman" w:eastAsia="Helvetica" w:cs="Times New Roman"/>
                <w:b w:val="0"/>
                <w:bCs w:val="0"/>
                <w:i w:val="0"/>
                <w:iCs w:val="0"/>
                <w:caps w:val="0"/>
                <w:color w:val="000000"/>
                <w:spacing w:val="0"/>
                <w:sz w:val="24"/>
                <w:szCs w:val="24"/>
                <w:bdr w:val="none" w:color="auto" w:sz="0" w:space="0"/>
              </w:rPr>
              <w:t>2019</w:t>
            </w:r>
            <w:r>
              <w:rPr>
                <w:rFonts w:hint="eastAsia" w:ascii="仿宋" w:hAnsi="仿宋" w:eastAsia="仿宋" w:cs="仿宋"/>
                <w:b w:val="0"/>
                <w:bCs w:val="0"/>
                <w:i w:val="0"/>
                <w:iCs w:val="0"/>
                <w:caps w:val="0"/>
                <w:color w:val="000000"/>
                <w:spacing w:val="0"/>
                <w:sz w:val="24"/>
                <w:szCs w:val="24"/>
                <w:bdr w:val="none" w:color="auto" w:sz="0" w:space="0"/>
              </w:rPr>
              <w:t>年完工的新建楼堂馆所为评价内容。</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楼堂馆所面积控制率</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2</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每超出</w:t>
            </w:r>
            <w:r>
              <w:rPr>
                <w:rFonts w:hint="default" w:ascii="Times New Roman" w:hAnsi="Times New Roman" w:eastAsia="Helvetica" w:cs="Times New Roman"/>
                <w:b w:val="0"/>
                <w:bCs w:val="0"/>
                <w:i w:val="0"/>
                <w:iCs w:val="0"/>
                <w:caps w:val="0"/>
                <w:color w:val="000000"/>
                <w:spacing w:val="0"/>
                <w:sz w:val="24"/>
                <w:szCs w:val="24"/>
                <w:bdr w:val="none" w:color="auto" w:sz="0" w:space="0"/>
              </w:rPr>
              <w:t>5%</w:t>
            </w:r>
            <w:r>
              <w:rPr>
                <w:rFonts w:hint="eastAsia" w:ascii="仿宋" w:hAnsi="仿宋" w:eastAsia="仿宋" w:cs="仿宋"/>
                <w:b w:val="0"/>
                <w:bCs w:val="0"/>
                <w:i w:val="0"/>
                <w:iCs w:val="0"/>
                <w:caps w:val="0"/>
                <w:color w:val="000000"/>
                <w:spacing w:val="0"/>
                <w:sz w:val="24"/>
                <w:szCs w:val="24"/>
                <w:bdr w:val="none" w:color="auto" w:sz="0" w:space="0"/>
              </w:rPr>
              <w:t>扣</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分，扣完为止。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没有楼梯馆所项目的部门剔除此项指标。</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91"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公用经费控制率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公用经费控制率</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（实际支出公用经费总额</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预算安排公用经费总额）</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公用经费控制率</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2</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每超过</w:t>
            </w:r>
            <w:r>
              <w:rPr>
                <w:rFonts w:hint="default" w:ascii="Times New Roman" w:hAnsi="Times New Roman" w:eastAsia="Helvetica" w:cs="Times New Roman"/>
                <w:b w:val="0"/>
                <w:bCs w:val="0"/>
                <w:i w:val="0"/>
                <w:iCs w:val="0"/>
                <w:caps w:val="0"/>
                <w:color w:val="000000"/>
                <w:spacing w:val="0"/>
                <w:sz w:val="24"/>
                <w:szCs w:val="24"/>
                <w:bdr w:val="none" w:color="auto" w:sz="0" w:space="0"/>
              </w:rPr>
              <w:t>5%</w:t>
            </w:r>
            <w:r>
              <w:rPr>
                <w:rFonts w:hint="eastAsia" w:ascii="仿宋" w:hAnsi="仿宋" w:eastAsia="仿宋" w:cs="仿宋"/>
                <w:b w:val="0"/>
                <w:bCs w:val="0"/>
                <w:i w:val="0"/>
                <w:iCs w:val="0"/>
                <w:caps w:val="0"/>
                <w:color w:val="000000"/>
                <w:spacing w:val="0"/>
                <w:sz w:val="24"/>
                <w:szCs w:val="24"/>
                <w:bdr w:val="none" w:color="auto" w:sz="0" w:space="0"/>
              </w:rPr>
              <w:t>，扣</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分，扣完为止。</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76"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三公经费</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控制率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三公经费</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控制率</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三公经费</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实际支出数</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三公经费</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预算安排数）</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三公经费</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控制率</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2</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每超过</w:t>
            </w:r>
            <w:r>
              <w:rPr>
                <w:rFonts w:hint="default" w:ascii="Times New Roman" w:hAnsi="Times New Roman" w:eastAsia="Helvetica" w:cs="Times New Roman"/>
                <w:b w:val="0"/>
                <w:bCs w:val="0"/>
                <w:i w:val="0"/>
                <w:iCs w:val="0"/>
                <w:caps w:val="0"/>
                <w:color w:val="000000"/>
                <w:spacing w:val="0"/>
                <w:sz w:val="24"/>
                <w:szCs w:val="24"/>
                <w:bdr w:val="none" w:color="auto" w:sz="0" w:space="0"/>
              </w:rPr>
              <w:t>5%</w:t>
            </w:r>
            <w:r>
              <w:rPr>
                <w:rFonts w:hint="eastAsia" w:ascii="仿宋" w:hAnsi="仿宋" w:eastAsia="仿宋" w:cs="仿宋"/>
                <w:b w:val="0"/>
                <w:bCs w:val="0"/>
                <w:i w:val="0"/>
                <w:iCs w:val="0"/>
                <w:caps w:val="0"/>
                <w:color w:val="000000"/>
                <w:spacing w:val="0"/>
                <w:sz w:val="24"/>
                <w:szCs w:val="24"/>
                <w:bdr w:val="none" w:color="auto" w:sz="0" w:space="0"/>
              </w:rPr>
              <w:t>，扣</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分，扣完为止。</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36"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政府采购执行率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政府采购执行率</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（实际政府采购金额</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政府采购预算数）</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政府采购预算：采购机关根据事业发展计划和行政任务编制的、并经过规定程序批准的年度政府采购计划。</w:t>
            </w:r>
            <w:r>
              <w:rPr>
                <w:rFonts w:hint="default" w:ascii="Helvetica" w:hAnsi="Helvetica" w:eastAsia="Helvetica" w:cs="Helvetica"/>
                <w:b w:val="0"/>
                <w:bCs w:val="0"/>
                <w:i w:val="0"/>
                <w:iCs w:val="0"/>
                <w:caps w:val="0"/>
                <w:color w:val="333333"/>
                <w:spacing w:val="0"/>
                <w:sz w:val="21"/>
                <w:szCs w:val="21"/>
                <w:bdr w:val="none" w:color="auto" w:sz="0" w:space="0"/>
              </w:rPr>
              <w:t xml:space="preserve"> </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政府采购执行率</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2</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每超过（降低）</w:t>
            </w:r>
            <w:r>
              <w:rPr>
                <w:rFonts w:hint="default" w:ascii="Times New Roman" w:hAnsi="Times New Roman" w:eastAsia="Helvetica" w:cs="Times New Roman"/>
                <w:b w:val="0"/>
                <w:bCs w:val="0"/>
                <w:i w:val="0"/>
                <w:iCs w:val="0"/>
                <w:caps w:val="0"/>
                <w:color w:val="000000"/>
                <w:spacing w:val="0"/>
                <w:sz w:val="24"/>
                <w:szCs w:val="24"/>
                <w:bdr w:val="none" w:color="auto" w:sz="0" w:space="0"/>
              </w:rPr>
              <w:t>5%</w:t>
            </w:r>
            <w:r>
              <w:rPr>
                <w:rFonts w:hint="eastAsia" w:ascii="仿宋" w:hAnsi="仿宋" w:eastAsia="仿宋" w:cs="仿宋"/>
                <w:b w:val="0"/>
                <w:bCs w:val="0"/>
                <w:i w:val="0"/>
                <w:iCs w:val="0"/>
                <w:caps w:val="0"/>
                <w:color w:val="000000"/>
                <w:spacing w:val="0"/>
                <w:sz w:val="24"/>
                <w:szCs w:val="24"/>
                <w:bdr w:val="none" w:color="auto" w:sz="0" w:space="0"/>
              </w:rPr>
              <w:t>，扣</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分，扣完为止。</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预算</w:t>
            </w:r>
            <w:r>
              <w:rPr>
                <w:rFonts w:hint="default" w:ascii="Times New Roman" w:hAnsi="Times New Roman" w:eastAsia="Helvetica" w:cs="Times New Roman"/>
                <w:b w:val="0"/>
                <w:bCs w:val="0"/>
                <w:i w:val="0"/>
                <w:iCs w:val="0"/>
                <w:caps w:val="0"/>
                <w:color w:val="000000"/>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管理</w:t>
            </w: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管理制度健全性</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①</w:t>
            </w:r>
            <w:r>
              <w:rPr>
                <w:rFonts w:hint="eastAsia" w:ascii="仿宋" w:hAnsi="仿宋" w:eastAsia="仿宋" w:cs="仿宋"/>
                <w:b w:val="0"/>
                <w:bCs w:val="0"/>
                <w:i w:val="0"/>
                <w:iCs w:val="0"/>
                <w:caps w:val="0"/>
                <w:color w:val="000000"/>
                <w:spacing w:val="0"/>
                <w:sz w:val="24"/>
                <w:szCs w:val="24"/>
                <w:bdr w:val="none" w:color="auto" w:sz="0" w:space="0"/>
              </w:rPr>
              <w:t>是否已制定或具有预算资金管理办法、内部财务管理制度、会计核算制度、本部门厉行节约制度等管理制度；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②</w:t>
            </w:r>
            <w:r>
              <w:rPr>
                <w:rFonts w:hint="eastAsia" w:ascii="仿宋" w:hAnsi="仿宋" w:eastAsia="仿宋" w:cs="仿宋"/>
                <w:b w:val="0"/>
                <w:bCs w:val="0"/>
                <w:i w:val="0"/>
                <w:iCs w:val="0"/>
                <w:caps w:val="0"/>
                <w:color w:val="000000"/>
                <w:spacing w:val="0"/>
                <w:sz w:val="24"/>
                <w:szCs w:val="24"/>
                <w:bdr w:val="none" w:color="auto" w:sz="0" w:space="0"/>
              </w:rPr>
              <w:t>相关管理制度是否合法、合规、完整；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③</w:t>
            </w:r>
            <w:r>
              <w:rPr>
                <w:rFonts w:hint="eastAsia" w:ascii="仿宋" w:hAnsi="仿宋" w:eastAsia="仿宋" w:cs="仿宋"/>
                <w:b w:val="0"/>
                <w:bCs w:val="0"/>
                <w:i w:val="0"/>
                <w:iCs w:val="0"/>
                <w:caps w:val="0"/>
                <w:color w:val="000000"/>
                <w:spacing w:val="0"/>
                <w:sz w:val="24"/>
                <w:szCs w:val="24"/>
                <w:bdr w:val="none" w:color="auto" w:sz="0" w:space="0"/>
              </w:rPr>
              <w:t>相关管理制度是否得到有效执行。</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每发现一类不合规问题，扣</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分，扣完为止。</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66"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资金使用合规性</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①</w:t>
            </w:r>
            <w:r>
              <w:rPr>
                <w:rFonts w:hint="eastAsia" w:ascii="仿宋" w:hAnsi="仿宋" w:eastAsia="仿宋" w:cs="仿宋"/>
                <w:b w:val="0"/>
                <w:bCs w:val="0"/>
                <w:i w:val="0"/>
                <w:iCs w:val="0"/>
                <w:caps w:val="0"/>
                <w:color w:val="000000"/>
                <w:spacing w:val="0"/>
                <w:sz w:val="24"/>
                <w:szCs w:val="24"/>
                <w:bdr w:val="none" w:color="auto" w:sz="0" w:space="0"/>
              </w:rPr>
              <w:t>是否符合国家财经法规和财务管理制度规定以及有关专项资金管理办法的规定；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②</w:t>
            </w:r>
            <w:r>
              <w:rPr>
                <w:rFonts w:hint="eastAsia" w:ascii="仿宋" w:hAnsi="仿宋" w:eastAsia="仿宋" w:cs="仿宋"/>
                <w:b w:val="0"/>
                <w:bCs w:val="0"/>
                <w:i w:val="0"/>
                <w:iCs w:val="0"/>
                <w:caps w:val="0"/>
                <w:color w:val="000000"/>
                <w:spacing w:val="0"/>
                <w:sz w:val="24"/>
                <w:szCs w:val="24"/>
                <w:bdr w:val="none" w:color="auto" w:sz="0" w:space="0"/>
              </w:rPr>
              <w:t>资金的拨付是否有完整的审批程序和手续；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③</w:t>
            </w:r>
            <w:r>
              <w:rPr>
                <w:rFonts w:hint="eastAsia" w:ascii="仿宋" w:hAnsi="仿宋" w:eastAsia="仿宋" w:cs="仿宋"/>
                <w:b w:val="0"/>
                <w:bCs w:val="0"/>
                <w:i w:val="0"/>
                <w:iCs w:val="0"/>
                <w:caps w:val="0"/>
                <w:color w:val="000000"/>
                <w:spacing w:val="0"/>
                <w:sz w:val="24"/>
                <w:szCs w:val="24"/>
                <w:bdr w:val="none" w:color="auto" w:sz="0" w:space="0"/>
              </w:rPr>
              <w:t>项目的重大开支是否经过评估论证；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④</w:t>
            </w:r>
            <w:r>
              <w:rPr>
                <w:rFonts w:hint="eastAsia" w:ascii="仿宋" w:hAnsi="仿宋" w:eastAsia="仿宋" w:cs="仿宋"/>
                <w:b w:val="0"/>
                <w:bCs w:val="0"/>
                <w:i w:val="0"/>
                <w:iCs w:val="0"/>
                <w:caps w:val="0"/>
                <w:color w:val="000000"/>
                <w:spacing w:val="0"/>
                <w:sz w:val="24"/>
                <w:szCs w:val="24"/>
                <w:bdr w:val="none" w:color="auto" w:sz="0" w:space="0"/>
              </w:rPr>
              <w:t>是否符合部门预算批复的用途；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⑤</w:t>
            </w:r>
            <w:r>
              <w:rPr>
                <w:rFonts w:hint="eastAsia" w:ascii="仿宋" w:hAnsi="仿宋" w:eastAsia="仿宋" w:cs="仿宋"/>
                <w:b w:val="0"/>
                <w:bCs w:val="0"/>
                <w:i w:val="0"/>
                <w:iCs w:val="0"/>
                <w:caps w:val="0"/>
                <w:color w:val="000000"/>
                <w:spacing w:val="0"/>
                <w:sz w:val="24"/>
                <w:szCs w:val="24"/>
                <w:bdr w:val="none" w:color="auto" w:sz="0" w:space="0"/>
              </w:rPr>
              <w:t>是否存在截留、挤占、挪用、虚列支出等情况。</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每发现一类不合规问题，扣</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分，扣完为止。</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51"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预决算信息公开性</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①</w:t>
            </w:r>
            <w:r>
              <w:rPr>
                <w:rFonts w:hint="eastAsia" w:ascii="仿宋" w:hAnsi="仿宋" w:eastAsia="仿宋" w:cs="仿宋"/>
                <w:b w:val="0"/>
                <w:bCs w:val="0"/>
                <w:i w:val="0"/>
                <w:iCs w:val="0"/>
                <w:caps w:val="0"/>
                <w:color w:val="000000"/>
                <w:spacing w:val="0"/>
                <w:sz w:val="24"/>
                <w:szCs w:val="24"/>
                <w:bdr w:val="none" w:color="auto" w:sz="0" w:space="0"/>
              </w:rPr>
              <w:t>是否按规定内容、规定时限公开预决算信息；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②</w:t>
            </w:r>
            <w:r>
              <w:rPr>
                <w:rFonts w:hint="eastAsia" w:ascii="仿宋" w:hAnsi="仿宋" w:eastAsia="仿宋" w:cs="仿宋"/>
                <w:b w:val="0"/>
                <w:bCs w:val="0"/>
                <w:i w:val="0"/>
                <w:iCs w:val="0"/>
                <w:caps w:val="0"/>
                <w:color w:val="000000"/>
                <w:spacing w:val="0"/>
                <w:sz w:val="24"/>
                <w:szCs w:val="24"/>
                <w:bdr w:val="none" w:color="auto" w:sz="0" w:space="0"/>
              </w:rPr>
              <w:t>基础数据信息和会计信息资料是否真实、完整、准确。预决算信息是指与部门预算、执行、决算、监督、绩效等管理相关的信息。</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①</w:t>
            </w:r>
            <w:r>
              <w:rPr>
                <w:rFonts w:hint="eastAsia" w:ascii="仿宋" w:hAnsi="仿宋" w:eastAsia="仿宋" w:cs="仿宋"/>
                <w:b w:val="0"/>
                <w:bCs w:val="0"/>
                <w:i w:val="0"/>
                <w:iCs w:val="0"/>
                <w:caps w:val="0"/>
                <w:color w:val="000000"/>
                <w:spacing w:val="0"/>
                <w:sz w:val="24"/>
                <w:szCs w:val="24"/>
                <w:bdr w:val="none" w:color="auto" w:sz="0" w:space="0"/>
              </w:rPr>
              <w:t>按规定内容、规定时限公开预决算信息，得</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②</w:t>
            </w:r>
            <w:r>
              <w:rPr>
                <w:rFonts w:hint="eastAsia" w:ascii="仿宋" w:hAnsi="仿宋" w:eastAsia="仿宋" w:cs="仿宋"/>
                <w:b w:val="0"/>
                <w:bCs w:val="0"/>
                <w:i w:val="0"/>
                <w:iCs w:val="0"/>
                <w:caps w:val="0"/>
                <w:color w:val="000000"/>
                <w:spacing w:val="0"/>
                <w:sz w:val="24"/>
                <w:szCs w:val="24"/>
                <w:bdr w:val="none" w:color="auto" w:sz="0" w:space="0"/>
              </w:rPr>
              <w:t>基础数据信息和会计信息资料真实、完整、准确，得</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每发现一类不合规问题，扣</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分，扣完为止。</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资产</w:t>
            </w:r>
            <w:r>
              <w:rPr>
                <w:rFonts w:hint="default" w:ascii="Times New Roman" w:hAnsi="Times New Roman" w:eastAsia="Helvetica" w:cs="Times New Roman"/>
                <w:b w:val="0"/>
                <w:bCs w:val="0"/>
                <w:i w:val="0"/>
                <w:iCs w:val="0"/>
                <w:caps w:val="0"/>
                <w:color w:val="000000"/>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管理</w:t>
            </w: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管理制度健全性</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1</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是否已制定或具有资产管理制度；相关资金管理制度是否合法、合规、完整；相关资产管理制度是否得到有效执行。</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①</w:t>
            </w:r>
            <w:r>
              <w:rPr>
                <w:rFonts w:hint="eastAsia" w:ascii="仿宋" w:hAnsi="仿宋" w:eastAsia="仿宋" w:cs="仿宋"/>
                <w:b w:val="0"/>
                <w:bCs w:val="0"/>
                <w:i w:val="0"/>
                <w:iCs w:val="0"/>
                <w:caps w:val="0"/>
                <w:color w:val="000000"/>
                <w:spacing w:val="0"/>
                <w:sz w:val="24"/>
                <w:szCs w:val="24"/>
                <w:bdr w:val="none" w:color="auto" w:sz="0" w:space="0"/>
              </w:rPr>
              <w:t>已制定或具有资产管理制度，相关资金管理制度合法、合规、完整。得</w:t>
            </w:r>
            <w:r>
              <w:rPr>
                <w:rFonts w:hint="default" w:ascii="Times New Roman" w:hAnsi="Times New Roman" w:eastAsia="Helvetica" w:cs="Times New Roman"/>
                <w:b w:val="0"/>
                <w:bCs w:val="0"/>
                <w:i w:val="0"/>
                <w:iCs w:val="0"/>
                <w:caps w:val="0"/>
                <w:color w:val="000000"/>
                <w:spacing w:val="0"/>
                <w:sz w:val="24"/>
                <w:szCs w:val="24"/>
                <w:bdr w:val="none" w:color="auto" w:sz="0" w:space="0"/>
              </w:rPr>
              <w:t>0.5</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 ②</w:t>
            </w:r>
            <w:r>
              <w:rPr>
                <w:rFonts w:hint="eastAsia" w:ascii="仿宋" w:hAnsi="仿宋" w:eastAsia="仿宋" w:cs="仿宋"/>
                <w:b w:val="0"/>
                <w:bCs w:val="0"/>
                <w:i w:val="0"/>
                <w:iCs w:val="0"/>
                <w:caps w:val="0"/>
                <w:color w:val="000000"/>
                <w:spacing w:val="0"/>
                <w:sz w:val="24"/>
                <w:szCs w:val="24"/>
                <w:bdr w:val="none" w:color="auto" w:sz="0" w:space="0"/>
              </w:rPr>
              <w:t>相关资产管理制度得到有效执行，得</w:t>
            </w:r>
            <w:r>
              <w:rPr>
                <w:rFonts w:hint="default" w:ascii="Times New Roman" w:hAnsi="Times New Roman" w:eastAsia="Helvetica" w:cs="Times New Roman"/>
                <w:b w:val="0"/>
                <w:bCs w:val="0"/>
                <w:i w:val="0"/>
                <w:iCs w:val="0"/>
                <w:caps w:val="0"/>
                <w:color w:val="000000"/>
                <w:spacing w:val="0"/>
                <w:sz w:val="24"/>
                <w:szCs w:val="24"/>
                <w:bdr w:val="none" w:color="auto" w:sz="0" w:space="0"/>
              </w:rPr>
              <w:t>0.5</w:t>
            </w:r>
            <w:r>
              <w:rPr>
                <w:rFonts w:hint="eastAsia" w:ascii="仿宋" w:hAnsi="仿宋" w:eastAsia="仿宋" w:cs="仿宋"/>
                <w:b w:val="0"/>
                <w:bCs w:val="0"/>
                <w:i w:val="0"/>
                <w:iCs w:val="0"/>
                <w:caps w:val="0"/>
                <w:color w:val="000000"/>
                <w:spacing w:val="0"/>
                <w:sz w:val="24"/>
                <w:szCs w:val="24"/>
                <w:bdr w:val="none" w:color="auto" w:sz="0" w:space="0"/>
              </w:rPr>
              <w:t>分。</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71"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资产管理安全性</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1</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资产是否保存完整、使用合规、配置合理、处置规范、收入及时足额上缴。</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①</w:t>
            </w:r>
            <w:r>
              <w:rPr>
                <w:rFonts w:hint="eastAsia" w:ascii="仿宋" w:hAnsi="仿宋" w:eastAsia="仿宋" w:cs="仿宋"/>
                <w:b w:val="0"/>
                <w:bCs w:val="0"/>
                <w:i w:val="0"/>
                <w:iCs w:val="0"/>
                <w:caps w:val="0"/>
                <w:color w:val="000000"/>
                <w:spacing w:val="0"/>
                <w:sz w:val="24"/>
                <w:szCs w:val="24"/>
                <w:bdr w:val="none" w:color="auto" w:sz="0" w:space="0"/>
              </w:rPr>
              <w:t>资产保存完整、配置合理、处置规范，得</w:t>
            </w:r>
            <w:r>
              <w:rPr>
                <w:rFonts w:hint="default" w:ascii="Times New Roman" w:hAnsi="Times New Roman" w:eastAsia="Helvetica" w:cs="Times New Roman"/>
                <w:b w:val="0"/>
                <w:bCs w:val="0"/>
                <w:i w:val="0"/>
                <w:iCs w:val="0"/>
                <w:caps w:val="0"/>
                <w:color w:val="000000"/>
                <w:spacing w:val="0"/>
                <w:sz w:val="24"/>
                <w:szCs w:val="24"/>
                <w:bdr w:val="none" w:color="auto" w:sz="0" w:space="0"/>
              </w:rPr>
              <w:t>0.5</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②</w:t>
            </w:r>
            <w:r>
              <w:rPr>
                <w:rFonts w:hint="eastAsia" w:ascii="仿宋" w:hAnsi="仿宋" w:eastAsia="仿宋" w:cs="仿宋"/>
                <w:b w:val="0"/>
                <w:bCs w:val="0"/>
                <w:i w:val="0"/>
                <w:iCs w:val="0"/>
                <w:caps w:val="0"/>
                <w:color w:val="000000"/>
                <w:spacing w:val="0"/>
                <w:sz w:val="24"/>
                <w:szCs w:val="24"/>
                <w:bdr w:val="none" w:color="auto" w:sz="0" w:space="0"/>
              </w:rPr>
              <w:t>资产账务管理合规，账实相符，得</w:t>
            </w:r>
            <w:r>
              <w:rPr>
                <w:rFonts w:hint="default" w:ascii="Times New Roman" w:hAnsi="Times New Roman" w:eastAsia="Helvetica" w:cs="Times New Roman"/>
                <w:b w:val="0"/>
                <w:bCs w:val="0"/>
                <w:i w:val="0"/>
                <w:iCs w:val="0"/>
                <w:caps w:val="0"/>
                <w:color w:val="000000"/>
                <w:spacing w:val="0"/>
                <w:sz w:val="24"/>
                <w:szCs w:val="24"/>
                <w:bdr w:val="none" w:color="auto" w:sz="0" w:space="0"/>
              </w:rPr>
              <w:t>0.5</w:t>
            </w:r>
            <w:r>
              <w:rPr>
                <w:rFonts w:hint="eastAsia" w:ascii="仿宋" w:hAnsi="仿宋" w:eastAsia="仿宋" w:cs="仿宋"/>
                <w:b w:val="0"/>
                <w:bCs w:val="0"/>
                <w:i w:val="0"/>
                <w:iCs w:val="0"/>
                <w:caps w:val="0"/>
                <w:color w:val="000000"/>
                <w:spacing w:val="0"/>
                <w:sz w:val="24"/>
                <w:szCs w:val="24"/>
                <w:bdr w:val="none" w:color="auto" w:sz="0" w:space="0"/>
              </w:rPr>
              <w:t>分；</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6"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固定资产利用率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1</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实际在用固定资产总额与所有固定资产总额的比率，用以反映和考核部门（单位）固定资产使用效率程度。</w:t>
            </w:r>
            <w:r>
              <w:rPr>
                <w:rFonts w:hint="default" w:ascii="Times New Roman" w:hAnsi="Times New Roman" w:eastAsia="Helvetica" w:cs="Times New Roman"/>
                <w:b w:val="0"/>
                <w:bCs w:val="0"/>
                <w:i w:val="0"/>
                <w:iCs w:val="0"/>
                <w:caps w:val="0"/>
                <w:color w:val="000000"/>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固定资产利用率</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（实际在用固定资产总额</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所有固定资产总额）</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固定资产利用率</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每低于</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，扣</w:t>
            </w:r>
            <w:r>
              <w:rPr>
                <w:rFonts w:hint="default" w:ascii="Times New Roman" w:hAnsi="Times New Roman" w:eastAsia="Helvetica" w:cs="Times New Roman"/>
                <w:b w:val="0"/>
                <w:bCs w:val="0"/>
                <w:i w:val="0"/>
                <w:iCs w:val="0"/>
                <w:caps w:val="0"/>
                <w:color w:val="000000"/>
                <w:spacing w:val="0"/>
                <w:sz w:val="24"/>
                <w:szCs w:val="24"/>
                <w:bdr w:val="none" w:color="auto" w:sz="0" w:space="0"/>
              </w:rPr>
              <w:t>0.1</w:t>
            </w:r>
            <w:r>
              <w:rPr>
                <w:rFonts w:hint="eastAsia" w:ascii="仿宋" w:hAnsi="仿宋" w:eastAsia="仿宋" w:cs="仿宋"/>
                <w:b w:val="0"/>
                <w:bCs w:val="0"/>
                <w:i w:val="0"/>
                <w:iCs w:val="0"/>
                <w:caps w:val="0"/>
                <w:color w:val="000000"/>
                <w:spacing w:val="0"/>
                <w:sz w:val="24"/>
                <w:szCs w:val="24"/>
                <w:bdr w:val="none" w:color="auto" w:sz="0" w:space="0"/>
              </w:rPr>
              <w:t>分，扣完为止。</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 w:hRule="atLeast"/>
        </w:trPr>
        <w:tc>
          <w:tcPr>
            <w:tcW w:w="555"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产</w:t>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出</w:t>
            </w:r>
          </w:p>
        </w:tc>
        <w:tc>
          <w:tcPr>
            <w:tcW w:w="58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职责</w:t>
            </w:r>
            <w:r>
              <w:rPr>
                <w:rFonts w:hint="default" w:ascii="Times New Roman" w:hAnsi="Times New Roman" w:eastAsia="Helvetica" w:cs="Times New Roman"/>
                <w:b w:val="0"/>
                <w:bCs w:val="0"/>
                <w:i w:val="0"/>
                <w:iCs w:val="0"/>
                <w:caps w:val="0"/>
                <w:color w:val="000000"/>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履行</w:t>
            </w: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个性化指标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17</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rPr>
                <w:sz w:val="21"/>
                <w:szCs w:val="21"/>
              </w:rPr>
            </w:pPr>
            <w:r>
              <w:rPr>
                <w:rFonts w:hint="eastAsia" w:ascii="仿宋" w:hAnsi="仿宋" w:eastAsia="仿宋" w:cs="仿宋"/>
                <w:b w:val="0"/>
                <w:bCs w:val="0"/>
                <w:i w:val="0"/>
                <w:iCs w:val="0"/>
                <w:caps w:val="0"/>
                <w:color w:val="000000"/>
                <w:spacing w:val="0"/>
                <w:sz w:val="24"/>
                <w:szCs w:val="24"/>
                <w:bdr w:val="none" w:color="auto" w:sz="0" w:space="0"/>
              </w:rPr>
              <w:t>从实际完成率、完成及时率、质量达标率等方面设置</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60"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重点工作办结率</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部门（单位）年度重点工作实际完成数与交办或下达数的比率，用以反映部门（单位）对重点工作的办理落实程度。</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重点工作办结率</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（重点工作实际完成数</w:t>
            </w:r>
            <w:r>
              <w:rPr>
                <w:rFonts w:hint="default" w:ascii="Times New Roman" w:hAnsi="Times New Roman" w:eastAsia="Helvetica" w:cs="Times New Roman"/>
                <w:b w:val="0"/>
                <w:bCs w:val="0"/>
                <w:i w:val="0"/>
                <w:iCs w:val="0"/>
                <w:caps w:val="0"/>
                <w:color w:val="000000"/>
                <w:spacing w:val="0"/>
                <w:sz w:val="24"/>
                <w:szCs w:val="24"/>
                <w:bdr w:val="none" w:color="auto" w:sz="0" w:space="0"/>
              </w:rPr>
              <w:t>/</w:t>
            </w:r>
            <w:r>
              <w:rPr>
                <w:rFonts w:hint="eastAsia" w:ascii="仿宋" w:hAnsi="仿宋" w:eastAsia="仿宋" w:cs="仿宋"/>
                <w:b w:val="0"/>
                <w:bCs w:val="0"/>
                <w:i w:val="0"/>
                <w:iCs w:val="0"/>
                <w:caps w:val="0"/>
                <w:color w:val="000000"/>
                <w:spacing w:val="0"/>
                <w:sz w:val="24"/>
                <w:szCs w:val="24"/>
                <w:bdr w:val="none" w:color="auto" w:sz="0" w:space="0"/>
              </w:rPr>
              <w:t>交办或下达数）</w:t>
            </w:r>
            <w:r>
              <w:rPr>
                <w:rFonts w:hint="default" w:ascii="Times New Roman" w:hAnsi="Times New Roman" w:eastAsia="Helvetica" w:cs="Times New Roman"/>
                <w:b w:val="0"/>
                <w:bCs w:val="0"/>
                <w:i w:val="0"/>
                <w:iCs w:val="0"/>
                <w:caps w:val="0"/>
                <w:color w:val="000000"/>
                <w:spacing w:val="0"/>
                <w:sz w:val="24"/>
                <w:szCs w:val="24"/>
                <w:bdr w:val="none" w:color="auto" w:sz="0" w:space="0"/>
              </w:rPr>
              <w:t>×100%</w:t>
            </w:r>
            <w:r>
              <w:rPr>
                <w:rFonts w:hint="eastAsia" w:ascii="仿宋" w:hAnsi="仿宋" w:eastAsia="仿宋" w:cs="仿宋"/>
                <w:b w:val="0"/>
                <w:bCs w:val="0"/>
                <w:i w:val="0"/>
                <w:iCs w:val="0"/>
                <w:caps w:val="0"/>
                <w:color w:val="000000"/>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重点工作是指党委、政府、人大、相关部门交办或下达的工作任务。</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10" w:hRule="atLeast"/>
        </w:trPr>
        <w:tc>
          <w:tcPr>
            <w:tcW w:w="555"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效</w:t>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果</w:t>
            </w:r>
          </w:p>
        </w:tc>
        <w:tc>
          <w:tcPr>
            <w:tcW w:w="585"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履职</w:t>
            </w:r>
            <w:r>
              <w:rPr>
                <w:rFonts w:hint="default" w:ascii="Times New Roman" w:hAnsi="Times New Roman" w:eastAsia="Helvetica" w:cs="Times New Roman"/>
                <w:b w:val="0"/>
                <w:bCs w:val="0"/>
                <w:i w:val="0"/>
                <w:iCs w:val="0"/>
                <w:caps w:val="0"/>
                <w:color w:val="000000"/>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效益</w:t>
            </w: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经济效益</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部门（单位）履行职责对经济发展所带来的直接或间接影响。</w:t>
            </w:r>
          </w:p>
        </w:tc>
        <w:tc>
          <w:tcPr>
            <w:tcW w:w="312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此三项指标为设置部门整体支出绩效评价指标时必须考虑的共性要素，可根据部门实际并结合部门整体支出绩效目标设立情况有选择的进行设置，并将其细化为相应的个性化指标。</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社会效益</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部门（单位）履行职责对社会发展所带来的直接或间接影响。</w:t>
            </w:r>
          </w:p>
        </w:tc>
        <w:tc>
          <w:tcPr>
            <w:tcW w:w="312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生态效益</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部门（单位）履行职责对生态环境所带来的直接或间接影响。</w:t>
            </w:r>
          </w:p>
        </w:tc>
        <w:tc>
          <w:tcPr>
            <w:tcW w:w="312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95"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行政效能</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政府对机关工作实施情况的具体评价，以年度政府考核结果为依据。</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优秀计</w:t>
            </w:r>
            <w:r>
              <w:rPr>
                <w:rFonts w:hint="default" w:ascii="Times New Roman" w:hAnsi="Times New Roman" w:eastAsia="Helvetica" w:cs="Times New Roman"/>
                <w:b w:val="0"/>
                <w:bCs w:val="0"/>
                <w:i w:val="0"/>
                <w:iCs w:val="0"/>
                <w:caps w:val="0"/>
                <w:color w:val="000000"/>
                <w:spacing w:val="0"/>
                <w:sz w:val="24"/>
                <w:szCs w:val="24"/>
                <w:bdr w:val="none" w:color="auto" w:sz="0" w:space="0"/>
              </w:rPr>
              <w:t>5</w:t>
            </w:r>
            <w:r>
              <w:rPr>
                <w:rFonts w:hint="eastAsia" w:ascii="仿宋" w:hAnsi="仿宋" w:eastAsia="仿宋" w:cs="仿宋"/>
                <w:b w:val="0"/>
                <w:bCs w:val="0"/>
                <w:i w:val="0"/>
                <w:iCs w:val="0"/>
                <w:caps w:val="0"/>
                <w:color w:val="000000"/>
                <w:spacing w:val="0"/>
                <w:sz w:val="24"/>
                <w:szCs w:val="24"/>
                <w:bdr w:val="none" w:color="auto" w:sz="0" w:space="0"/>
              </w:rPr>
              <w:t>分，良好计</w:t>
            </w:r>
            <w:r>
              <w:rPr>
                <w:rFonts w:hint="default" w:ascii="Times New Roman" w:hAnsi="Times New Roman" w:eastAsia="Helvetica" w:cs="Times New Roman"/>
                <w:b w:val="0"/>
                <w:bCs w:val="0"/>
                <w:i w:val="0"/>
                <w:iCs w:val="0"/>
                <w:caps w:val="0"/>
                <w:color w:val="000000"/>
                <w:spacing w:val="0"/>
                <w:sz w:val="24"/>
                <w:szCs w:val="24"/>
                <w:bdr w:val="none" w:color="auto" w:sz="0" w:space="0"/>
              </w:rPr>
              <w:t>3</w:t>
            </w:r>
            <w:r>
              <w:rPr>
                <w:rFonts w:hint="eastAsia" w:ascii="仿宋" w:hAnsi="仿宋" w:eastAsia="仿宋" w:cs="仿宋"/>
                <w:b w:val="0"/>
                <w:bCs w:val="0"/>
                <w:i w:val="0"/>
                <w:iCs w:val="0"/>
                <w:caps w:val="0"/>
                <w:color w:val="000000"/>
                <w:spacing w:val="0"/>
                <w:sz w:val="24"/>
                <w:szCs w:val="24"/>
                <w:bdr w:val="none" w:color="auto" w:sz="0" w:space="0"/>
              </w:rPr>
              <w:t>分，合格计</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分，不合格计</w:t>
            </w:r>
            <w:r>
              <w:rPr>
                <w:rFonts w:hint="default" w:ascii="Times New Roman" w:hAnsi="Times New Roman" w:eastAsia="Helvetica" w:cs="Times New Roman"/>
                <w:b w:val="0"/>
                <w:bCs w:val="0"/>
                <w:i w:val="0"/>
                <w:iCs w:val="0"/>
                <w:caps w:val="0"/>
                <w:color w:val="000000"/>
                <w:spacing w:val="0"/>
                <w:sz w:val="24"/>
                <w:szCs w:val="24"/>
                <w:bdr w:val="none" w:color="auto" w:sz="0" w:space="0"/>
              </w:rPr>
              <w:t>0</w:t>
            </w:r>
            <w:r>
              <w:rPr>
                <w:rFonts w:hint="eastAsia" w:ascii="仿宋" w:hAnsi="仿宋" w:eastAsia="仿宋" w:cs="仿宋"/>
                <w:b w:val="0"/>
                <w:bCs w:val="0"/>
                <w:i w:val="0"/>
                <w:iCs w:val="0"/>
                <w:caps w:val="0"/>
                <w:color w:val="000000"/>
                <w:spacing w:val="0"/>
                <w:sz w:val="24"/>
                <w:szCs w:val="24"/>
                <w:bdr w:val="none" w:color="auto" w:sz="0" w:space="0"/>
              </w:rPr>
              <w:t>分。</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11" w:hRule="atLeast"/>
        </w:trPr>
        <w:tc>
          <w:tcPr>
            <w:tcW w:w="55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585"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社会公众或服务对象满意度</w:t>
            </w: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社会公众或部门（单位）的服务对象对部门履职效果的满意程度。</w:t>
            </w:r>
            <w:r>
              <w:rPr>
                <w:rFonts w:hint="default" w:ascii="Times New Roman" w:hAnsi="Times New Roman" w:eastAsia="Helvetica" w:cs="Times New Roman"/>
                <w:b w:val="0"/>
                <w:bCs w:val="0"/>
                <w:i w:val="0"/>
                <w:iCs w:val="0"/>
                <w:caps w:val="0"/>
                <w:color w:val="000000"/>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000000"/>
                <w:spacing w:val="0"/>
                <w:sz w:val="24"/>
                <w:szCs w:val="24"/>
                <w:bdr w:val="none" w:color="auto" w:sz="0" w:space="0"/>
              </w:rPr>
              <w:t xml:space="preserve">  </w:t>
            </w:r>
            <w:r>
              <w:rPr>
                <w:rFonts w:hint="eastAsia" w:ascii="仿宋" w:hAnsi="仿宋" w:eastAsia="仿宋" w:cs="仿宋"/>
                <w:b w:val="0"/>
                <w:bCs w:val="0"/>
                <w:i w:val="0"/>
                <w:iCs w:val="0"/>
                <w:caps w:val="0"/>
                <w:color w:val="000000"/>
                <w:spacing w:val="0"/>
                <w:sz w:val="24"/>
                <w:szCs w:val="24"/>
                <w:bdr w:val="none" w:color="auto" w:sz="0" w:space="0"/>
              </w:rPr>
              <w:t>社会公众或服务对象是指部门（单位）履行职责而影响到的部门、群体或个人。</w:t>
            </w: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≥90%</w:t>
            </w:r>
            <w:r>
              <w:rPr>
                <w:rFonts w:hint="eastAsia" w:ascii="仿宋" w:hAnsi="仿宋" w:eastAsia="仿宋" w:cs="仿宋"/>
                <w:b w:val="0"/>
                <w:bCs w:val="0"/>
                <w:i w:val="0"/>
                <w:iCs w:val="0"/>
                <w:caps w:val="0"/>
                <w:color w:val="000000"/>
                <w:spacing w:val="0"/>
                <w:sz w:val="24"/>
                <w:szCs w:val="24"/>
                <w:bdr w:val="none" w:color="auto" w:sz="0" w:space="0"/>
              </w:rPr>
              <w:t>，得</w:t>
            </w:r>
            <w:r>
              <w:rPr>
                <w:rFonts w:hint="default" w:ascii="Times New Roman" w:hAnsi="Times New Roman" w:eastAsia="Helvetica" w:cs="Times New Roman"/>
                <w:b w:val="0"/>
                <w:bCs w:val="0"/>
                <w:i w:val="0"/>
                <w:iCs w:val="0"/>
                <w:caps w:val="0"/>
                <w:color w:val="000000"/>
                <w:spacing w:val="0"/>
                <w:sz w:val="24"/>
                <w:szCs w:val="24"/>
                <w:bdr w:val="none" w:color="auto" w:sz="0" w:space="0"/>
              </w:rPr>
              <w:t>5</w:t>
            </w:r>
            <w:r>
              <w:rPr>
                <w:rFonts w:hint="eastAsia" w:ascii="仿宋" w:hAnsi="仿宋" w:eastAsia="仿宋" w:cs="仿宋"/>
                <w:b w:val="0"/>
                <w:bCs w:val="0"/>
                <w:i w:val="0"/>
                <w:iCs w:val="0"/>
                <w:caps w:val="0"/>
                <w:color w:val="000000"/>
                <w:spacing w:val="0"/>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每降低</w:t>
            </w:r>
            <w:r>
              <w:rPr>
                <w:rFonts w:hint="default" w:ascii="Times New Roman" w:hAnsi="Times New Roman" w:eastAsia="Helvetica" w:cs="Times New Roman"/>
                <w:b w:val="0"/>
                <w:bCs w:val="0"/>
                <w:i w:val="0"/>
                <w:iCs w:val="0"/>
                <w:caps w:val="0"/>
                <w:color w:val="000000"/>
                <w:spacing w:val="0"/>
                <w:sz w:val="24"/>
                <w:szCs w:val="24"/>
                <w:bdr w:val="none" w:color="auto" w:sz="0" w:space="0"/>
              </w:rPr>
              <w:t>1%</w:t>
            </w:r>
            <w:r>
              <w:rPr>
                <w:rFonts w:hint="eastAsia" w:ascii="仿宋" w:hAnsi="仿宋" w:eastAsia="仿宋" w:cs="仿宋"/>
                <w:b w:val="0"/>
                <w:bCs w:val="0"/>
                <w:i w:val="0"/>
                <w:iCs w:val="0"/>
                <w:caps w:val="0"/>
                <w:color w:val="000000"/>
                <w:spacing w:val="0"/>
                <w:sz w:val="24"/>
                <w:szCs w:val="24"/>
                <w:bdr w:val="none" w:color="auto" w:sz="0" w:space="0"/>
              </w:rPr>
              <w:t>，扣</w:t>
            </w:r>
            <w:r>
              <w:rPr>
                <w:rFonts w:hint="default" w:ascii="Times New Roman" w:hAnsi="Times New Roman" w:eastAsia="Helvetica" w:cs="Times New Roman"/>
                <w:b w:val="0"/>
                <w:bCs w:val="0"/>
                <w:i w:val="0"/>
                <w:iCs w:val="0"/>
                <w:caps w:val="0"/>
                <w:color w:val="000000"/>
                <w:spacing w:val="0"/>
                <w:sz w:val="24"/>
                <w:szCs w:val="24"/>
                <w:bdr w:val="none" w:color="auto" w:sz="0" w:space="0"/>
              </w:rPr>
              <w:t>0.5</w:t>
            </w:r>
            <w:r>
              <w:rPr>
                <w:rFonts w:hint="eastAsia" w:ascii="仿宋" w:hAnsi="仿宋" w:eastAsia="仿宋" w:cs="仿宋"/>
                <w:b w:val="0"/>
                <w:bCs w:val="0"/>
                <w:i w:val="0"/>
                <w:iCs w:val="0"/>
                <w:caps w:val="0"/>
                <w:color w:val="000000"/>
                <w:spacing w:val="0"/>
                <w:sz w:val="24"/>
                <w:szCs w:val="24"/>
                <w:bdr w:val="none" w:color="auto" w:sz="0" w:space="0"/>
              </w:rPr>
              <w:t>分，扣完为止。</w:t>
            </w: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jc w:val="left"/>
              <w:textAlignment w:val="center"/>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140" w:type="dxa"/>
            <w:gridSpan w:val="2"/>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eastAsia" w:ascii="仿宋" w:hAnsi="仿宋" w:eastAsia="仿宋" w:cs="仿宋"/>
                <w:b w:val="0"/>
                <w:bCs w:val="0"/>
                <w:i w:val="0"/>
                <w:iCs w:val="0"/>
                <w:caps w:val="0"/>
                <w:color w:val="000000"/>
                <w:spacing w:val="0"/>
                <w:sz w:val="24"/>
                <w:szCs w:val="24"/>
                <w:bdr w:val="none" w:color="auto" w:sz="0" w:space="0"/>
              </w:rPr>
              <w:t>合计</w:t>
            </w:r>
          </w:p>
        </w:tc>
        <w:tc>
          <w:tcPr>
            <w:tcW w:w="64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3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sz w:val="21"/>
                <w:szCs w:val="21"/>
              </w:rPr>
            </w:pPr>
            <w:r>
              <w:rPr>
                <w:rFonts w:hint="default" w:ascii="Times New Roman" w:hAnsi="Times New Roman" w:eastAsia="Helvetica" w:cs="Times New Roman"/>
                <w:b w:val="0"/>
                <w:bCs w:val="0"/>
                <w:i w:val="0"/>
                <w:iCs w:val="0"/>
                <w:caps w:val="0"/>
                <w:color w:val="000000"/>
                <w:spacing w:val="0"/>
                <w:sz w:val="21"/>
                <w:szCs w:val="21"/>
                <w:bdr w:val="none" w:color="auto" w:sz="0" w:space="0"/>
              </w:rPr>
              <w:t>100</w:t>
            </w:r>
          </w:p>
        </w:tc>
        <w:tc>
          <w:tcPr>
            <w:tcW w:w="337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312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76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40"/>
              <w:rPr>
                <w:sz w:val="21"/>
                <w:szCs w:val="21"/>
              </w:rPr>
            </w:pPr>
            <w:r>
              <w:rPr>
                <w:rFonts w:hint="default" w:ascii="Times New Roman" w:hAnsi="Times New Roman" w:eastAsia="Helvetica" w:cs="Times New Roman"/>
                <w:b w:val="0"/>
                <w:bCs w:val="0"/>
                <w:i w:val="0"/>
                <w:iCs w:val="0"/>
                <w:caps w:val="0"/>
                <w:color w:val="000000"/>
                <w:spacing w:val="0"/>
                <w:sz w:val="24"/>
                <w:szCs w:val="24"/>
                <w:bdr w:val="none" w:color="auto" w:sz="0" w:space="0"/>
              </w:rPr>
              <w:t>90.5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Helvetica" w:hAnsi="Helvetica" w:eastAsia="Helvetica" w:cs="Helvetica"/>
          <w:b w:val="0"/>
          <w:bCs w:val="0"/>
          <w:i w:val="0"/>
          <w:iCs w:val="0"/>
          <w:caps w:val="0"/>
          <w:color w:val="333333"/>
          <w:spacing w:val="0"/>
          <w:sz w:val="24"/>
          <w:szCs w:val="24"/>
        </w:rPr>
      </w:pPr>
      <w:r>
        <w:rPr>
          <w:rFonts w:hint="default" w:ascii="Times New Roman" w:hAnsi="Times New Roman" w:eastAsia="Helvetica" w:cs="Times New Roman"/>
          <w:b w:val="0"/>
          <w:bCs w:val="0"/>
          <w:i w:val="0"/>
          <w:iCs w:val="0"/>
          <w:caps w:val="0"/>
          <w:color w:val="333333"/>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Helvetica" w:hAnsi="Helvetica" w:eastAsia="Helvetica" w:cs="Helvetica"/>
          <w:b w:val="0"/>
          <w:bCs w:val="0"/>
          <w:i w:val="0"/>
          <w:iCs w:val="0"/>
          <w:caps w:val="0"/>
          <w:color w:val="333333"/>
          <w:spacing w:val="0"/>
          <w:sz w:val="24"/>
          <w:szCs w:val="24"/>
        </w:rPr>
      </w:pPr>
      <w:r>
        <w:rPr>
          <w:rFonts w:hint="default" w:ascii="Times New Roman" w:hAnsi="Times New Roman" w:eastAsia="Helvetica" w:cs="Times New Roman"/>
          <w:b w:val="0"/>
          <w:bCs w:val="0"/>
          <w:i w:val="0"/>
          <w:iCs w:val="0"/>
          <w:caps w:val="0"/>
          <w:color w:val="333333"/>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Helvetica" w:hAnsi="Helvetica" w:eastAsia="Helvetica" w:cs="Helvetica"/>
          <w:b w:val="0"/>
          <w:bCs w:val="0"/>
          <w:i w:val="0"/>
          <w:iCs w:val="0"/>
          <w:caps w:val="0"/>
          <w:color w:val="333333"/>
          <w:spacing w:val="0"/>
          <w:sz w:val="24"/>
          <w:szCs w:val="24"/>
        </w:rPr>
      </w:pPr>
      <w:r>
        <w:rPr>
          <w:rFonts w:hint="default" w:ascii="Times New Roman" w:hAnsi="Times New Roman" w:eastAsia="Helvetica" w:cs="Times New Roman"/>
          <w:b w:val="0"/>
          <w:bCs w:val="0"/>
          <w:i w:val="0"/>
          <w:iCs w:val="0"/>
          <w:caps w:val="0"/>
          <w:color w:val="333333"/>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Helvetica" w:hAnsi="Helvetica" w:eastAsia="Helvetica" w:cs="Helvetica"/>
          <w:b w:val="0"/>
          <w:bCs w:val="0"/>
          <w:i w:val="0"/>
          <w:iCs w:val="0"/>
          <w:caps w:val="0"/>
          <w:color w:val="333333"/>
          <w:spacing w:val="0"/>
          <w:sz w:val="24"/>
          <w:szCs w:val="24"/>
        </w:rPr>
      </w:pPr>
      <w:r>
        <w:rPr>
          <w:rFonts w:hint="default" w:ascii="Times New Roman" w:hAnsi="Times New Roman" w:eastAsia="Helvetica" w:cs="Times New Roman"/>
          <w:b w:val="0"/>
          <w:bCs w:val="0"/>
          <w:i w:val="0"/>
          <w:iCs w:val="0"/>
          <w:caps w:val="0"/>
          <w:color w:val="333333"/>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Helvetica" w:hAnsi="Helvetica" w:eastAsia="Helvetica" w:cs="Helvetica"/>
          <w:b w:val="0"/>
          <w:bCs w:val="0"/>
          <w:i w:val="0"/>
          <w:iCs w:val="0"/>
          <w:caps w:val="0"/>
          <w:color w:val="333333"/>
          <w:spacing w:val="0"/>
          <w:sz w:val="24"/>
          <w:szCs w:val="24"/>
        </w:rPr>
      </w:pPr>
      <w:r>
        <w:rPr>
          <w:rFonts w:hint="default" w:ascii="Times New Roman" w:hAnsi="Times New Roman" w:eastAsia="Helvetica" w:cs="Times New Roman"/>
          <w:b w:val="0"/>
          <w:bCs w:val="0"/>
          <w:i w:val="0"/>
          <w:iCs w:val="0"/>
          <w:caps w:val="0"/>
          <w:color w:val="333333"/>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Helvetica" w:hAnsi="Helvetica" w:eastAsia="Helvetica" w:cs="Helvetica"/>
          <w:b w:val="0"/>
          <w:bCs w:val="0"/>
          <w:i w:val="0"/>
          <w:iCs w:val="0"/>
          <w:caps w:val="0"/>
          <w:color w:val="333333"/>
          <w:spacing w:val="0"/>
          <w:sz w:val="24"/>
          <w:szCs w:val="24"/>
        </w:rPr>
      </w:pPr>
      <w:r>
        <w:rPr>
          <w:rFonts w:hint="default" w:ascii="Times New Roman" w:hAnsi="Times New Roman" w:eastAsia="Helvetica" w:cs="Times New Roman"/>
          <w:b w:val="0"/>
          <w:bCs w:val="0"/>
          <w:i w:val="0"/>
          <w:iCs w:val="0"/>
          <w:caps w:val="0"/>
          <w:color w:val="333333"/>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Helvetica" w:hAnsi="Helvetica" w:eastAsia="Helvetica" w:cs="Helvetica"/>
          <w:b w:val="0"/>
          <w:bCs w:val="0"/>
          <w:i w:val="0"/>
          <w:iCs w:val="0"/>
          <w:caps w:val="0"/>
          <w:color w:val="333333"/>
          <w:spacing w:val="0"/>
          <w:sz w:val="24"/>
          <w:szCs w:val="24"/>
        </w:rPr>
      </w:pPr>
      <w:r>
        <w:rPr>
          <w:rFonts w:hint="default" w:ascii="Times New Roman" w:hAnsi="Times New Roman" w:eastAsia="Helvetica" w:cs="Times New Roman"/>
          <w:b w:val="0"/>
          <w:bCs w:val="0"/>
          <w:i w:val="0"/>
          <w:iCs w:val="0"/>
          <w:caps w:val="0"/>
          <w:color w:val="333333"/>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Helvetica" w:hAnsi="Helvetica" w:eastAsia="Helvetica" w:cs="Helvetica"/>
          <w:b w:val="0"/>
          <w:bCs w:val="0"/>
          <w:i w:val="0"/>
          <w:iCs w:val="0"/>
          <w:caps w:val="0"/>
          <w:color w:val="333333"/>
          <w:spacing w:val="0"/>
          <w:sz w:val="24"/>
          <w:szCs w:val="24"/>
        </w:rPr>
      </w:pPr>
      <w:r>
        <w:rPr>
          <w:rFonts w:hint="default" w:ascii="Times New Roman" w:hAnsi="Times New Roman" w:eastAsia="Helvetica" w:cs="Times New Roman"/>
          <w:b w:val="0"/>
          <w:bCs w:val="0"/>
          <w:i w:val="0"/>
          <w:iCs w:val="0"/>
          <w:caps w:val="0"/>
          <w:color w:val="333333"/>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Helvetica" w:hAnsi="Helvetica" w:eastAsia="Helvetica" w:cs="Helvetica"/>
          <w:b w:val="0"/>
          <w:bCs w:val="0"/>
          <w:i w:val="0"/>
          <w:iCs w:val="0"/>
          <w:caps w:val="0"/>
          <w:color w:val="333333"/>
          <w:spacing w:val="0"/>
          <w:sz w:val="24"/>
          <w:szCs w:val="24"/>
        </w:rPr>
      </w:pPr>
      <w:r>
        <w:rPr>
          <w:rFonts w:hint="default" w:ascii="方正小标宋_GBK" w:hAnsi="方正小标宋_GBK" w:eastAsia="方正小标宋_GBK" w:cs="方正小标宋_GBK"/>
          <w:b w:val="0"/>
          <w:bCs w:val="0"/>
          <w:i w:val="0"/>
          <w:iCs w:val="0"/>
          <w:caps w:val="0"/>
          <w:color w:val="333333"/>
          <w:spacing w:val="0"/>
          <w:sz w:val="36"/>
          <w:szCs w:val="36"/>
          <w:bdr w:val="none" w:color="auto" w:sz="0" w:space="0"/>
          <w:shd w:val="clear" w:fill="FFFFFF"/>
        </w:rPr>
        <w:t>部门整体支出绩效评价基础数据表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0" w:right="0" w:firstLine="0"/>
        <w:jc w:val="left"/>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填报单位：桃源县商务局</w:t>
      </w:r>
      <w:r>
        <w:rPr>
          <w:rFonts w:hint="default" w:ascii="Times New Roman" w:hAnsi="Times New Roman" w:eastAsia="Helvetica" w:cs="Times New Roman"/>
          <w:b w:val="0"/>
          <w:bCs w:val="0"/>
          <w:i w:val="0"/>
          <w:iCs w:val="0"/>
          <w:caps w:val="0"/>
          <w:color w:val="333333"/>
          <w:spacing w:val="0"/>
          <w:sz w:val="24"/>
          <w:szCs w:val="24"/>
          <w:bdr w:val="none" w:color="auto" w:sz="0" w:space="0"/>
          <w:shd w:val="clear" w:fill="FFFFFF"/>
        </w:rPr>
        <w:t xml:space="preserve">                                                                                           </w:t>
      </w:r>
    </w:p>
    <w:tbl>
      <w:tblPr>
        <w:tblW w:w="9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15"/>
        <w:gridCol w:w="1110"/>
        <w:gridCol w:w="750"/>
        <w:gridCol w:w="930"/>
        <w:gridCol w:w="1050"/>
        <w:gridCol w:w="100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3315"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财政供养人员情况</w:t>
            </w:r>
          </w:p>
        </w:tc>
        <w:tc>
          <w:tcPr>
            <w:tcW w:w="1845"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编制数</w:t>
            </w:r>
          </w:p>
        </w:tc>
        <w:tc>
          <w:tcPr>
            <w:tcW w:w="198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2020</w:t>
            </w:r>
            <w:r>
              <w:rPr>
                <w:rFonts w:hint="eastAsia" w:ascii="仿宋" w:hAnsi="仿宋" w:eastAsia="仿宋" w:cs="仿宋"/>
                <w:b w:val="0"/>
                <w:bCs w:val="0"/>
                <w:i w:val="0"/>
                <w:iCs w:val="0"/>
                <w:caps w:val="0"/>
                <w:color w:val="333333"/>
                <w:spacing w:val="0"/>
                <w:sz w:val="24"/>
                <w:szCs w:val="24"/>
                <w:bdr w:val="none" w:color="auto" w:sz="0" w:space="0"/>
              </w:rPr>
              <w:t>年实际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在职人数</w:t>
            </w:r>
          </w:p>
        </w:tc>
        <w:tc>
          <w:tcPr>
            <w:tcW w:w="195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1" w:hRule="atLeast"/>
        </w:trPr>
        <w:tc>
          <w:tcPr>
            <w:tcW w:w="331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25</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22</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黑体" w:hAnsi="宋体" w:eastAsia="黑体" w:cs="黑体"/>
                <w:b w:val="0"/>
                <w:bCs w:val="0"/>
                <w:i w:val="0"/>
                <w:iCs w:val="0"/>
                <w:caps w:val="0"/>
                <w:color w:val="333333"/>
                <w:spacing w:val="0"/>
                <w:sz w:val="24"/>
                <w:szCs w:val="24"/>
                <w:bdr w:val="none" w:color="auto" w:sz="0" w:space="0"/>
              </w:rPr>
              <w:t>经费控制情况</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黑体" w:hAnsi="宋体" w:eastAsia="黑体" w:cs="黑体"/>
                <w:b w:val="0"/>
                <w:bCs w:val="0"/>
                <w:i w:val="0"/>
                <w:iCs w:val="0"/>
                <w:caps w:val="0"/>
                <w:color w:val="333333"/>
                <w:spacing w:val="0"/>
                <w:sz w:val="24"/>
                <w:szCs w:val="24"/>
                <w:bdr w:val="none" w:color="auto" w:sz="0" w:space="0"/>
              </w:rPr>
              <w:t>2019年决算数</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黑体" w:hAnsi="宋体" w:eastAsia="黑体" w:cs="黑体"/>
                <w:b w:val="0"/>
                <w:bCs w:val="0"/>
                <w:i w:val="0"/>
                <w:iCs w:val="0"/>
                <w:caps w:val="0"/>
                <w:color w:val="333333"/>
                <w:spacing w:val="0"/>
                <w:sz w:val="24"/>
                <w:szCs w:val="24"/>
                <w:bdr w:val="none" w:color="auto" w:sz="0" w:space="0"/>
              </w:rPr>
              <w:t>2020年预算数</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黑体" w:hAnsi="宋体" w:eastAsia="黑体" w:cs="黑体"/>
                <w:b w:val="0"/>
                <w:bCs w:val="0"/>
                <w:i w:val="0"/>
                <w:iCs w:val="0"/>
                <w:caps w:val="0"/>
                <w:color w:val="333333"/>
                <w:spacing w:val="0"/>
                <w:sz w:val="24"/>
                <w:szCs w:val="24"/>
                <w:bdr w:val="none" w:color="auto" w:sz="0" w:space="0"/>
              </w:rPr>
              <w:t>2020年决算数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5"/>
                <w:rFonts w:hint="eastAsia" w:ascii="仿宋" w:hAnsi="仿宋" w:eastAsia="仿宋" w:cs="仿宋"/>
                <w:b/>
                <w:bCs/>
                <w:i w:val="0"/>
                <w:iCs w:val="0"/>
                <w:caps w:val="0"/>
                <w:color w:val="333333"/>
                <w:spacing w:val="0"/>
                <w:sz w:val="24"/>
                <w:szCs w:val="24"/>
                <w:bdr w:val="none" w:color="auto" w:sz="0" w:space="0"/>
              </w:rPr>
              <w:t>三公经费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38.39</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48</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w:t>
            </w:r>
            <w:r>
              <w:rPr>
                <w:rFonts w:hint="eastAsia" w:ascii="仿宋" w:hAnsi="仿宋" w:eastAsia="仿宋" w:cs="仿宋"/>
                <w:b w:val="0"/>
                <w:bCs w:val="0"/>
                <w:i w:val="0"/>
                <w:iCs w:val="0"/>
                <w:caps w:val="0"/>
                <w:color w:val="333333"/>
                <w:spacing w:val="0"/>
                <w:sz w:val="24"/>
                <w:szCs w:val="24"/>
                <w:bdr w:val="none" w:color="auto" w:sz="0" w:space="0"/>
              </w:rPr>
              <w:t>公务用车购置和维护经费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其中：公车购置</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公车运行维护</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w:t>
            </w:r>
            <w:r>
              <w:rPr>
                <w:rFonts w:hint="eastAsia" w:ascii="仿宋" w:hAnsi="仿宋" w:eastAsia="仿宋" w:cs="仿宋"/>
                <w:b w:val="0"/>
                <w:bCs w:val="0"/>
                <w:i w:val="0"/>
                <w:iCs w:val="0"/>
                <w:caps w:val="0"/>
                <w:color w:val="333333"/>
                <w:spacing w:val="0"/>
                <w:sz w:val="24"/>
                <w:szCs w:val="24"/>
                <w:bdr w:val="none" w:color="auto" w:sz="0" w:space="0"/>
              </w:rPr>
              <w:t>出国经费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10</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3.</w:t>
            </w:r>
            <w:r>
              <w:rPr>
                <w:rFonts w:hint="eastAsia" w:ascii="仿宋" w:hAnsi="仿宋" w:eastAsia="仿宋" w:cs="仿宋"/>
                <w:b w:val="0"/>
                <w:bCs w:val="0"/>
                <w:i w:val="0"/>
                <w:iCs w:val="0"/>
                <w:caps w:val="0"/>
                <w:color w:val="333333"/>
                <w:spacing w:val="0"/>
                <w:sz w:val="24"/>
                <w:szCs w:val="24"/>
                <w:bdr w:val="none" w:color="auto" w:sz="0" w:space="0"/>
              </w:rPr>
              <w:t>公务接待</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38.39</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38</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5"/>
                <w:rFonts w:hint="eastAsia" w:ascii="仿宋" w:hAnsi="仿宋" w:eastAsia="仿宋" w:cs="仿宋"/>
                <w:b/>
                <w:bCs/>
                <w:i w:val="0"/>
                <w:iCs w:val="0"/>
                <w:caps w:val="0"/>
                <w:color w:val="333333"/>
                <w:spacing w:val="0"/>
                <w:sz w:val="24"/>
                <w:szCs w:val="24"/>
                <w:bdr w:val="none" w:color="auto" w:sz="0" w:space="0"/>
              </w:rPr>
              <w:t>项目支出</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12</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112</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w:t>
            </w:r>
            <w:r>
              <w:rPr>
                <w:rFonts w:hint="eastAsia" w:ascii="仿宋" w:hAnsi="仿宋" w:eastAsia="仿宋" w:cs="仿宋"/>
                <w:b w:val="0"/>
                <w:bCs w:val="0"/>
                <w:i w:val="0"/>
                <w:iCs w:val="0"/>
                <w:caps w:val="0"/>
                <w:color w:val="333333"/>
                <w:spacing w:val="0"/>
                <w:sz w:val="24"/>
                <w:szCs w:val="24"/>
                <w:bdr w:val="none" w:color="auto" w:sz="0" w:space="0"/>
              </w:rPr>
              <w:t>业务工作专项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12</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12</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1"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w:t>
            </w:r>
            <w:r>
              <w:rPr>
                <w:rFonts w:hint="eastAsia" w:ascii="仿宋" w:hAnsi="仿宋" w:eastAsia="仿宋" w:cs="仿宋"/>
                <w:b w:val="0"/>
                <w:bCs w:val="0"/>
                <w:i w:val="0"/>
                <w:iCs w:val="0"/>
                <w:caps w:val="0"/>
                <w:color w:val="333333"/>
                <w:spacing w:val="0"/>
                <w:sz w:val="24"/>
                <w:szCs w:val="24"/>
                <w:bdr w:val="none" w:color="auto" w:sz="0" w:space="0"/>
              </w:rPr>
              <w:t>运行维护专项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3.</w:t>
            </w:r>
            <w:r>
              <w:rPr>
                <w:rFonts w:hint="eastAsia" w:ascii="仿宋" w:hAnsi="仿宋" w:eastAsia="仿宋" w:cs="仿宋"/>
                <w:b w:val="0"/>
                <w:bCs w:val="0"/>
                <w:i w:val="0"/>
                <w:iCs w:val="0"/>
                <w:caps w:val="0"/>
                <w:color w:val="333333"/>
                <w:spacing w:val="0"/>
                <w:sz w:val="24"/>
                <w:szCs w:val="24"/>
                <w:bdr w:val="none" w:color="auto" w:sz="0" w:space="0"/>
              </w:rPr>
              <w:t>对企业补助</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100</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5"/>
                <w:rFonts w:hint="eastAsia" w:ascii="仿宋" w:hAnsi="仿宋" w:eastAsia="仿宋" w:cs="仿宋"/>
                <w:b/>
                <w:bCs/>
                <w:i w:val="0"/>
                <w:iCs w:val="0"/>
                <w:caps w:val="0"/>
                <w:color w:val="333333"/>
                <w:spacing w:val="0"/>
                <w:sz w:val="24"/>
                <w:szCs w:val="24"/>
                <w:bdr w:val="none" w:color="auto" w:sz="0" w:space="0"/>
              </w:rPr>
              <w:t>公用经费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29.07</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296.75</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104.07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w:t>
            </w:r>
            <w:r>
              <w:rPr>
                <w:rFonts w:hint="eastAsia" w:ascii="仿宋" w:hAnsi="仿宋" w:eastAsia="仿宋" w:cs="仿宋"/>
                <w:b w:val="0"/>
                <w:bCs w:val="0"/>
                <w:i w:val="0"/>
                <w:iCs w:val="0"/>
                <w:caps w:val="0"/>
                <w:color w:val="333333"/>
                <w:spacing w:val="0"/>
                <w:sz w:val="24"/>
                <w:szCs w:val="24"/>
                <w:bdr w:val="none" w:color="auto" w:sz="0" w:space="0"/>
              </w:rPr>
              <w:t>办公经费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10.46</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15</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w:t>
            </w:r>
            <w:r>
              <w:rPr>
                <w:rFonts w:hint="eastAsia" w:ascii="仿宋" w:hAnsi="仿宋" w:eastAsia="仿宋" w:cs="仿宋"/>
                <w:b w:val="0"/>
                <w:bCs w:val="0"/>
                <w:i w:val="0"/>
                <w:iCs w:val="0"/>
                <w:caps w:val="0"/>
                <w:color w:val="333333"/>
                <w:spacing w:val="0"/>
                <w:sz w:val="24"/>
                <w:szCs w:val="24"/>
                <w:bdr w:val="none" w:color="auto" w:sz="0" w:space="0"/>
              </w:rPr>
              <w:t>水电费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1.37</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5</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3.</w:t>
            </w:r>
            <w:r>
              <w:rPr>
                <w:rFonts w:hint="eastAsia" w:ascii="仿宋" w:hAnsi="仿宋" w:eastAsia="仿宋" w:cs="仿宋"/>
                <w:b w:val="0"/>
                <w:bCs w:val="0"/>
                <w:i w:val="0"/>
                <w:iCs w:val="0"/>
                <w:caps w:val="0"/>
                <w:color w:val="333333"/>
                <w:spacing w:val="0"/>
                <w:sz w:val="24"/>
                <w:szCs w:val="24"/>
                <w:bdr w:val="none" w:color="auto" w:sz="0" w:space="0"/>
              </w:rPr>
              <w:t>差旅费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14</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21</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4.</w:t>
            </w:r>
            <w:r>
              <w:rPr>
                <w:rFonts w:hint="eastAsia" w:ascii="仿宋" w:hAnsi="仿宋" w:eastAsia="仿宋" w:cs="仿宋"/>
                <w:b w:val="0"/>
                <w:bCs w:val="0"/>
                <w:i w:val="0"/>
                <w:iCs w:val="0"/>
                <w:caps w:val="0"/>
                <w:color w:val="333333"/>
                <w:spacing w:val="0"/>
                <w:sz w:val="24"/>
                <w:szCs w:val="24"/>
                <w:bdr w:val="none" w:color="auto" w:sz="0" w:space="0"/>
              </w:rPr>
              <w:t>会议费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10</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5.</w:t>
            </w:r>
            <w:r>
              <w:rPr>
                <w:rFonts w:hint="eastAsia" w:ascii="仿宋" w:hAnsi="仿宋" w:eastAsia="仿宋" w:cs="仿宋"/>
                <w:b w:val="0"/>
                <w:bCs w:val="0"/>
                <w:i w:val="0"/>
                <w:iCs w:val="0"/>
                <w:caps w:val="0"/>
                <w:color w:val="333333"/>
                <w:spacing w:val="0"/>
                <w:sz w:val="24"/>
                <w:szCs w:val="24"/>
                <w:bdr w:val="none" w:color="auto" w:sz="0" w:space="0"/>
              </w:rPr>
              <w:t>培训费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5</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6.</w:t>
            </w:r>
            <w:r>
              <w:rPr>
                <w:rFonts w:hint="eastAsia" w:ascii="仿宋" w:hAnsi="仿宋" w:eastAsia="仿宋" w:cs="仿宋"/>
                <w:b w:val="0"/>
                <w:bCs w:val="0"/>
                <w:i w:val="0"/>
                <w:iCs w:val="0"/>
                <w:caps w:val="0"/>
                <w:color w:val="333333"/>
                <w:spacing w:val="0"/>
                <w:sz w:val="24"/>
                <w:szCs w:val="24"/>
                <w:bdr w:val="none" w:color="auto" w:sz="0" w:space="0"/>
              </w:rPr>
              <w:t>邮电费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7</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7.</w:t>
            </w:r>
            <w:r>
              <w:rPr>
                <w:rFonts w:hint="eastAsia" w:ascii="仿宋" w:hAnsi="仿宋" w:eastAsia="仿宋" w:cs="仿宋"/>
                <w:b w:val="0"/>
                <w:bCs w:val="0"/>
                <w:i w:val="0"/>
                <w:iCs w:val="0"/>
                <w:caps w:val="0"/>
                <w:color w:val="333333"/>
                <w:spacing w:val="0"/>
                <w:sz w:val="24"/>
                <w:szCs w:val="24"/>
                <w:bdr w:val="none" w:color="auto" w:sz="0" w:space="0"/>
              </w:rPr>
              <w:t>公务接待费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38</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8.</w:t>
            </w:r>
            <w:r>
              <w:rPr>
                <w:rFonts w:hint="eastAsia" w:ascii="仿宋" w:hAnsi="仿宋" w:eastAsia="仿宋" w:cs="仿宋"/>
                <w:b w:val="0"/>
                <w:bCs w:val="0"/>
                <w:i w:val="0"/>
                <w:iCs w:val="0"/>
                <w:caps w:val="0"/>
                <w:color w:val="333333"/>
                <w:spacing w:val="0"/>
                <w:sz w:val="24"/>
                <w:szCs w:val="24"/>
                <w:bdr w:val="none" w:color="auto" w:sz="0" w:space="0"/>
              </w:rPr>
              <w:t>工会经费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9.51</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9.</w:t>
            </w:r>
            <w:r>
              <w:rPr>
                <w:rFonts w:hint="eastAsia" w:ascii="仿宋" w:hAnsi="仿宋" w:eastAsia="仿宋" w:cs="仿宋"/>
                <w:b w:val="0"/>
                <w:bCs w:val="0"/>
                <w:i w:val="0"/>
                <w:iCs w:val="0"/>
                <w:caps w:val="0"/>
                <w:color w:val="333333"/>
                <w:spacing w:val="0"/>
                <w:sz w:val="24"/>
                <w:szCs w:val="24"/>
                <w:bdr w:val="none" w:color="auto" w:sz="0" w:space="0"/>
              </w:rPr>
              <w:t>印刷费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1.38</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5</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10.</w:t>
            </w:r>
            <w:r>
              <w:rPr>
                <w:rFonts w:hint="eastAsia" w:ascii="仿宋" w:hAnsi="仿宋" w:eastAsia="仿宋" w:cs="仿宋"/>
                <w:b w:val="0"/>
                <w:bCs w:val="0"/>
                <w:i w:val="0"/>
                <w:iCs w:val="0"/>
                <w:caps w:val="0"/>
                <w:color w:val="333333"/>
                <w:spacing w:val="0"/>
                <w:sz w:val="24"/>
                <w:szCs w:val="24"/>
                <w:bdr w:val="none" w:color="auto" w:sz="0" w:space="0"/>
              </w:rPr>
              <w:t>物业管理费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1.8</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3.6</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11.</w:t>
            </w:r>
            <w:r>
              <w:rPr>
                <w:rFonts w:hint="eastAsia" w:ascii="仿宋" w:hAnsi="仿宋" w:eastAsia="仿宋" w:cs="仿宋"/>
                <w:b w:val="0"/>
                <w:bCs w:val="0"/>
                <w:i w:val="0"/>
                <w:iCs w:val="0"/>
                <w:caps w:val="0"/>
                <w:color w:val="333333"/>
                <w:spacing w:val="0"/>
                <w:sz w:val="24"/>
                <w:szCs w:val="24"/>
                <w:bdr w:val="none" w:color="auto" w:sz="0" w:space="0"/>
              </w:rPr>
              <w:t>维修（护）费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5</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12.</w:t>
            </w:r>
            <w:r>
              <w:rPr>
                <w:rFonts w:hint="eastAsia" w:ascii="仿宋" w:hAnsi="仿宋" w:eastAsia="仿宋" w:cs="仿宋"/>
                <w:b w:val="0"/>
                <w:bCs w:val="0"/>
                <w:i w:val="0"/>
                <w:iCs w:val="0"/>
                <w:caps w:val="0"/>
                <w:color w:val="333333"/>
                <w:spacing w:val="0"/>
                <w:sz w:val="24"/>
                <w:szCs w:val="24"/>
                <w:bdr w:val="none" w:color="auto" w:sz="0" w:space="0"/>
              </w:rPr>
              <w:t>劳务费</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20</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13</w:t>
            </w:r>
            <w:r>
              <w:rPr>
                <w:rFonts w:hint="eastAsia" w:ascii="仿宋" w:hAnsi="仿宋" w:eastAsia="仿宋" w:cs="仿宋"/>
                <w:b w:val="0"/>
                <w:bCs w:val="0"/>
                <w:i w:val="0"/>
                <w:iCs w:val="0"/>
                <w:caps w:val="0"/>
                <w:color w:val="333333"/>
                <w:spacing w:val="0"/>
                <w:sz w:val="24"/>
                <w:szCs w:val="24"/>
                <w:bdr w:val="none" w:color="auto" w:sz="0" w:space="0"/>
              </w:rPr>
              <w:t>其他交通费用</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29</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14.</w:t>
            </w:r>
            <w:r>
              <w:rPr>
                <w:rFonts w:hint="eastAsia" w:ascii="仿宋" w:hAnsi="仿宋" w:eastAsia="仿宋" w:cs="仿宋"/>
                <w:b w:val="0"/>
                <w:bCs w:val="0"/>
                <w:i w:val="0"/>
                <w:iCs w:val="0"/>
                <w:caps w:val="0"/>
                <w:color w:val="333333"/>
                <w:spacing w:val="0"/>
                <w:sz w:val="24"/>
                <w:szCs w:val="24"/>
                <w:bdr w:val="none" w:color="auto" w:sz="0" w:space="0"/>
              </w:rPr>
              <w:t>其他商品和服务支出</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0.06</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133.64</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29.34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15.</w:t>
            </w:r>
            <w:r>
              <w:rPr>
                <w:rFonts w:hint="eastAsia" w:ascii="仿宋" w:hAnsi="仿宋" w:eastAsia="仿宋" w:cs="仿宋"/>
                <w:b w:val="0"/>
                <w:bCs w:val="0"/>
                <w:i w:val="0"/>
                <w:iCs w:val="0"/>
                <w:caps w:val="0"/>
                <w:color w:val="333333"/>
                <w:spacing w:val="0"/>
                <w:sz w:val="24"/>
                <w:szCs w:val="24"/>
                <w:bdr w:val="none" w:color="auto" w:sz="0" w:space="0"/>
              </w:rPr>
              <w:t>因公出国出境</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10</w:t>
            </w: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5"/>
                <w:rFonts w:hint="eastAsia" w:ascii="仿宋" w:hAnsi="仿宋" w:eastAsia="仿宋" w:cs="仿宋"/>
                <w:b/>
                <w:bCs/>
                <w:i w:val="0"/>
                <w:iCs w:val="0"/>
                <w:caps w:val="0"/>
                <w:color w:val="333333"/>
                <w:spacing w:val="0"/>
                <w:sz w:val="24"/>
                <w:szCs w:val="24"/>
                <w:bdr w:val="none" w:color="auto" w:sz="0" w:space="0"/>
              </w:rPr>
              <w:t>政府采购金额</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5"/>
                <w:rFonts w:hint="eastAsia" w:ascii="仿宋" w:hAnsi="仿宋" w:eastAsia="仿宋" w:cs="仿宋"/>
                <w:b/>
                <w:bCs/>
                <w:i w:val="0"/>
                <w:iCs w:val="0"/>
                <w:caps w:val="0"/>
                <w:color w:val="333333"/>
                <w:spacing w:val="0"/>
                <w:sz w:val="24"/>
                <w:szCs w:val="24"/>
                <w:bdr w:val="none" w:color="auto" w:sz="0" w:space="0"/>
              </w:rPr>
              <w:t>部门整体支出预算调整</w:t>
            </w:r>
          </w:p>
        </w:tc>
        <w:tc>
          <w:tcPr>
            <w:tcW w:w="18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w:t>
            </w:r>
          </w:p>
        </w:tc>
        <w:tc>
          <w:tcPr>
            <w:tcW w:w="198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95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331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5"/>
                <w:rFonts w:hint="eastAsia" w:ascii="仿宋" w:hAnsi="仿宋" w:eastAsia="仿宋" w:cs="仿宋"/>
                <w:b/>
                <w:bCs/>
                <w:i w:val="0"/>
                <w:iCs w:val="0"/>
                <w:caps w:val="0"/>
                <w:color w:val="333333"/>
                <w:spacing w:val="0"/>
                <w:sz w:val="24"/>
                <w:szCs w:val="24"/>
                <w:bdr w:val="none" w:color="auto" w:sz="0" w:space="0"/>
              </w:rPr>
              <w:t>楼堂馆所控制情况</w:t>
            </w:r>
            <w:r>
              <w:rPr>
                <w:rStyle w:val="5"/>
                <w:rFonts w:hint="default" w:ascii="Times New Roman" w:hAnsi="Times New Roman" w:eastAsia="Helvetica" w:cs="Times New Roman"/>
                <w:b/>
                <w:bCs/>
                <w:i w:val="0"/>
                <w:iCs w:val="0"/>
                <w:caps w:val="0"/>
                <w:color w:val="333333"/>
                <w:spacing w:val="0"/>
                <w:sz w:val="24"/>
                <w:szCs w:val="24"/>
                <w:bdr w:val="none" w:color="auto" w:sz="0" w:space="0"/>
              </w:rPr>
              <w:br w:type="textWrapping"/>
            </w:r>
            <w:r>
              <w:rPr>
                <w:rStyle w:val="5"/>
                <w:rFonts w:hint="default" w:ascii="Times New Roman" w:hAnsi="Times New Roman" w:eastAsia="Helvetica" w:cs="Times New Roman"/>
                <w:b/>
                <w:bCs/>
                <w:i w:val="0"/>
                <w:iCs w:val="0"/>
                <w:caps w:val="0"/>
                <w:color w:val="333333"/>
                <w:spacing w:val="0"/>
                <w:sz w:val="24"/>
                <w:szCs w:val="24"/>
                <w:bdr w:val="none" w:color="auto" w:sz="0" w:space="0"/>
              </w:rPr>
              <w:t xml:space="preserve">  </w:t>
            </w:r>
            <w:r>
              <w:rPr>
                <w:rStyle w:val="5"/>
                <w:rFonts w:hint="eastAsia" w:ascii="仿宋" w:hAnsi="仿宋" w:eastAsia="仿宋" w:cs="仿宋"/>
                <w:b/>
                <w:bCs/>
                <w:i w:val="0"/>
                <w:iCs w:val="0"/>
                <w:caps w:val="0"/>
                <w:color w:val="333333"/>
                <w:spacing w:val="0"/>
                <w:sz w:val="24"/>
                <w:szCs w:val="24"/>
                <w:bdr w:val="none" w:color="auto" w:sz="0" w:space="0"/>
              </w:rPr>
              <w:t>（</w:t>
            </w:r>
            <w:r>
              <w:rPr>
                <w:rStyle w:val="5"/>
                <w:rFonts w:hint="default" w:ascii="Times New Roman" w:hAnsi="Times New Roman" w:eastAsia="Helvetica" w:cs="Times New Roman"/>
                <w:b/>
                <w:bCs/>
                <w:i w:val="0"/>
                <w:iCs w:val="0"/>
                <w:caps w:val="0"/>
                <w:color w:val="333333"/>
                <w:spacing w:val="0"/>
                <w:sz w:val="24"/>
                <w:szCs w:val="24"/>
                <w:bdr w:val="none" w:color="auto" w:sz="0" w:space="0"/>
              </w:rPr>
              <w:t>2020</w:t>
            </w:r>
            <w:r>
              <w:rPr>
                <w:rStyle w:val="5"/>
                <w:rFonts w:hint="eastAsia" w:ascii="仿宋" w:hAnsi="仿宋" w:eastAsia="仿宋" w:cs="仿宋"/>
                <w:b/>
                <w:bCs/>
                <w:i w:val="0"/>
                <w:iCs w:val="0"/>
                <w:caps w:val="0"/>
                <w:color w:val="333333"/>
                <w:spacing w:val="0"/>
                <w:sz w:val="24"/>
                <w:szCs w:val="24"/>
                <w:bdr w:val="none" w:color="auto" w:sz="0" w:space="0"/>
              </w:rPr>
              <w:t>年完工项目）</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规模</w:t>
            </w:r>
            <w:r>
              <w:rPr>
                <w:rFonts w:hint="default" w:ascii="Times New Roman" w:hAnsi="Times New Roman" w:eastAsia="Helvetica" w:cs="Times New Roman"/>
                <w:b w:val="0"/>
                <w:bCs w:val="0"/>
                <w:i w:val="0"/>
                <w:iCs w:val="0"/>
                <w:caps w:val="0"/>
                <w:color w:val="333333"/>
                <w:spacing w:val="0"/>
                <w:sz w:val="24"/>
                <w:szCs w:val="24"/>
                <w:bdr w:val="none" w:color="auto" w:sz="0" w:space="0"/>
              </w:rPr>
              <w:br w:type="textWrapping"/>
            </w:r>
            <w:r>
              <w:rPr>
                <w:rFonts w:hint="default" w:ascii="Times New Roman" w:hAnsi="Times New Roman" w:eastAsia="Helvetica" w:cs="Times New Roman"/>
                <w:b w:val="0"/>
                <w:bCs w:val="0"/>
                <w:i w:val="0"/>
                <w:iCs w:val="0"/>
                <w:caps w:val="0"/>
                <w:color w:val="333333"/>
                <w:spacing w:val="0"/>
                <w:sz w:val="24"/>
                <w:szCs w:val="24"/>
                <w:bdr w:val="none" w:color="auto" w:sz="0" w:space="0"/>
              </w:rPr>
              <w:t>  (</w:t>
            </w:r>
            <w:r>
              <w:rPr>
                <w:rFonts w:hint="eastAsia" w:ascii="仿宋" w:hAnsi="仿宋" w:eastAsia="仿宋" w:cs="仿宋"/>
                <w:b w:val="0"/>
                <w:bCs w:val="0"/>
                <w:i w:val="0"/>
                <w:iCs w:val="0"/>
                <w:caps w:val="0"/>
                <w:color w:val="333333"/>
                <w:spacing w:val="0"/>
                <w:sz w:val="24"/>
                <w:szCs w:val="24"/>
                <w:bdr w:val="none" w:color="auto" w:sz="0" w:space="0"/>
              </w:rPr>
              <w:t>㎡</w:t>
            </w:r>
            <w:r>
              <w:rPr>
                <w:rFonts w:hint="default" w:ascii="Times New Roman" w:hAnsi="Times New Roman" w:eastAsia="Helvetica" w:cs="Times New Roman"/>
                <w:b w:val="0"/>
                <w:bCs w:val="0"/>
                <w:i w:val="0"/>
                <w:iCs w:val="0"/>
                <w:caps w:val="0"/>
                <w:color w:val="333333"/>
                <w:spacing w:val="0"/>
                <w:sz w:val="24"/>
                <w:szCs w:val="24"/>
                <w:bdr w:val="none" w:color="auto" w:sz="0" w:space="0"/>
              </w:rPr>
              <w:t>)</w:t>
            </w: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实际规模</w:t>
            </w:r>
            <w:r>
              <w:rPr>
                <w:rFonts w:hint="default" w:ascii="Times New Roman" w:hAnsi="Times New Roman" w:eastAsia="Helvetica" w:cs="Times New Roman"/>
                <w:b w:val="0"/>
                <w:bCs w:val="0"/>
                <w:i w:val="0"/>
                <w:iCs w:val="0"/>
                <w:caps w:val="0"/>
                <w:color w:val="333333"/>
                <w:spacing w:val="0"/>
                <w:sz w:val="24"/>
                <w:szCs w:val="24"/>
                <w:bdr w:val="none" w:color="auto" w:sz="0" w:space="0"/>
              </w:rPr>
              <w:t>(</w:t>
            </w:r>
            <w:r>
              <w:rPr>
                <w:rFonts w:hint="eastAsia" w:ascii="仿宋" w:hAnsi="仿宋" w:eastAsia="仿宋" w:cs="仿宋"/>
                <w:b w:val="0"/>
                <w:bCs w:val="0"/>
                <w:i w:val="0"/>
                <w:iCs w:val="0"/>
                <w:caps w:val="0"/>
                <w:color w:val="333333"/>
                <w:spacing w:val="0"/>
                <w:sz w:val="24"/>
                <w:szCs w:val="24"/>
                <w:bdr w:val="none" w:color="auto" w:sz="0" w:space="0"/>
              </w:rPr>
              <w:t>㎡</w:t>
            </w:r>
            <w:r>
              <w:rPr>
                <w:rFonts w:hint="default" w:ascii="Times New Roman" w:hAnsi="Times New Roman" w:eastAsia="Helvetica" w:cs="Times New Roman"/>
                <w:b w:val="0"/>
                <w:bCs w:val="0"/>
                <w:i w:val="0"/>
                <w:iCs w:val="0"/>
                <w:caps w:val="0"/>
                <w:color w:val="333333"/>
                <w:spacing w:val="0"/>
                <w:sz w:val="24"/>
                <w:szCs w:val="24"/>
                <w:bdr w:val="none" w:color="auto" w:sz="0" w:space="0"/>
              </w:rPr>
              <w:t>)</w:t>
            </w:r>
          </w:p>
        </w:tc>
        <w:tc>
          <w:tcPr>
            <w:tcW w:w="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控制率</w:t>
            </w: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w:t>
            </w:r>
            <w:r>
              <w:rPr>
                <w:rFonts w:hint="eastAsia" w:ascii="仿宋" w:hAnsi="仿宋" w:eastAsia="仿宋" w:cs="仿宋"/>
                <w:b w:val="0"/>
                <w:bCs w:val="0"/>
                <w:i w:val="0"/>
                <w:iCs w:val="0"/>
                <w:caps w:val="0"/>
                <w:color w:val="333333"/>
                <w:spacing w:val="0"/>
                <w:sz w:val="24"/>
                <w:szCs w:val="24"/>
                <w:bdr w:val="none" w:color="auto" w:sz="0" w:space="0"/>
              </w:rPr>
              <w:t>万元</w:t>
            </w:r>
            <w:r>
              <w:rPr>
                <w:rFonts w:hint="default" w:ascii="Times New Roman" w:hAnsi="Times New Roman" w:eastAsia="Helvetica" w:cs="Times New Roman"/>
                <w:b w:val="0"/>
                <w:bCs w:val="0"/>
                <w:i w:val="0"/>
                <w:iCs w:val="0"/>
                <w:caps w:val="0"/>
                <w:color w:val="333333"/>
                <w:spacing w:val="0"/>
                <w:sz w:val="24"/>
                <w:szCs w:val="24"/>
                <w:bdr w:val="none" w:color="auto" w:sz="0" w:space="0"/>
              </w:rPr>
              <w:t>)</w:t>
            </w:r>
          </w:p>
        </w:tc>
        <w:tc>
          <w:tcPr>
            <w:tcW w:w="10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实际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default" w:ascii="Times New Roman" w:hAnsi="Times New Roman" w:eastAsia="Helvetica" w:cs="Times New Roman"/>
                <w:b w:val="0"/>
                <w:bCs w:val="0"/>
                <w:i w:val="0"/>
                <w:iCs w:val="0"/>
                <w:caps w:val="0"/>
                <w:color w:val="333333"/>
                <w:spacing w:val="0"/>
                <w:sz w:val="24"/>
                <w:szCs w:val="24"/>
                <w:bdr w:val="none" w:color="auto" w:sz="0" w:space="0"/>
              </w:rPr>
              <w:t>(</w:t>
            </w:r>
            <w:r>
              <w:rPr>
                <w:rFonts w:hint="eastAsia" w:ascii="仿宋" w:hAnsi="仿宋" w:eastAsia="仿宋" w:cs="仿宋"/>
                <w:b w:val="0"/>
                <w:bCs w:val="0"/>
                <w:i w:val="0"/>
                <w:iCs w:val="0"/>
                <w:caps w:val="0"/>
                <w:color w:val="333333"/>
                <w:spacing w:val="0"/>
                <w:sz w:val="24"/>
                <w:szCs w:val="24"/>
                <w:bdr w:val="none" w:color="auto" w:sz="0" w:space="0"/>
              </w:rPr>
              <w:t>万元</w:t>
            </w:r>
            <w:r>
              <w:rPr>
                <w:rFonts w:hint="default" w:ascii="Times New Roman" w:hAnsi="Times New Roman" w:eastAsia="Helvetica" w:cs="Times New Roman"/>
                <w:b w:val="0"/>
                <w:bCs w:val="0"/>
                <w:i w:val="0"/>
                <w:iCs w:val="0"/>
                <w:caps w:val="0"/>
                <w:color w:val="333333"/>
                <w:spacing w:val="0"/>
                <w:sz w:val="24"/>
                <w:szCs w:val="24"/>
                <w:bdr w:val="none" w:color="auto" w:sz="0" w:space="0"/>
              </w:rPr>
              <w:t>)</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trPr>
        <w:tc>
          <w:tcPr>
            <w:tcW w:w="331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Helvetica" w:hAnsi="Helvetica" w:eastAsia="Helvetica" w:cs="Helvetica"/>
                <w:b w:val="0"/>
                <w:bCs w:val="0"/>
                <w:i w:val="0"/>
                <w:iCs w:val="0"/>
                <w:caps w:val="0"/>
                <w:color w:val="333333"/>
                <w:spacing w:val="0"/>
                <w:sz w:val="24"/>
                <w:szCs w:val="24"/>
              </w:rPr>
            </w:pP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93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05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10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line="480" w:lineRule="atLeast"/>
              <w:ind w:left="0" w:firstLine="0"/>
              <w:jc w:val="left"/>
              <w:rPr>
                <w:rFonts w:hint="default" w:ascii="Helvetica" w:hAnsi="Helvetica" w:eastAsia="Helvetica" w:cs="Helvetica"/>
                <w:b w:val="0"/>
                <w:bCs w:val="0"/>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33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5"/>
                <w:rFonts w:hint="eastAsia" w:ascii="仿宋" w:hAnsi="仿宋" w:eastAsia="仿宋" w:cs="仿宋"/>
                <w:b/>
                <w:bCs/>
                <w:i w:val="0"/>
                <w:iCs w:val="0"/>
                <w:caps w:val="0"/>
                <w:color w:val="333333"/>
                <w:spacing w:val="0"/>
                <w:sz w:val="24"/>
                <w:szCs w:val="24"/>
                <w:bdr w:val="none" w:color="auto" w:sz="0" w:space="0"/>
              </w:rPr>
              <w:t>厉行节约保障措施</w:t>
            </w:r>
          </w:p>
        </w:tc>
        <w:tc>
          <w:tcPr>
            <w:tcW w:w="5790"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仿宋" w:hAnsi="仿宋" w:eastAsia="仿宋" w:cs="仿宋"/>
                <w:b w:val="0"/>
                <w:bCs w:val="0"/>
                <w:i w:val="0"/>
                <w:iCs w:val="0"/>
                <w:caps w:val="0"/>
                <w:color w:val="333333"/>
                <w:spacing w:val="0"/>
                <w:sz w:val="24"/>
                <w:szCs w:val="24"/>
                <w:bdr w:val="none" w:color="auto" w:sz="0" w:space="0"/>
              </w:rPr>
              <w:t>严格依据中央八项规定的要求，公务接待严格按照公务接待标准、范围执行，杜绝无公函接待、超标准、超范围接待现象发生，一切从简，精简节约。</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Helvetica" w:hAnsi="Helvetica" w:eastAsia="Helvetica" w:cs="Helvetica"/>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说明：</w:t>
      </w:r>
      <w:r>
        <w:rPr>
          <w:rFonts w:hint="default" w:ascii="Times New Roman" w:hAnsi="Times New Roman" w:eastAsia="Helvetica" w:cs="Times New Roman"/>
          <w:b w:val="0"/>
          <w:bCs w:val="0"/>
          <w:i w:val="0"/>
          <w:iCs w:val="0"/>
          <w:caps w:val="0"/>
          <w:color w:val="333333"/>
          <w:spacing w:val="0"/>
          <w:sz w:val="24"/>
          <w:szCs w:val="24"/>
          <w:bdr w:val="none" w:color="auto" w:sz="0" w:space="0"/>
          <w:shd w:val="clear" w:fill="FFFFFF"/>
        </w:rPr>
        <w:t>“</w:t>
      </w:r>
      <w:r>
        <w:rPr>
          <w:rFonts w:hint="eastAsia" w:ascii="仿宋" w:hAnsi="仿宋" w:eastAsia="仿宋" w:cs="仿宋"/>
          <w:b w:val="0"/>
          <w:bCs w:val="0"/>
          <w:i w:val="0"/>
          <w:iCs w:val="0"/>
          <w:caps w:val="0"/>
          <w:color w:val="333333"/>
          <w:spacing w:val="0"/>
          <w:sz w:val="24"/>
          <w:szCs w:val="24"/>
          <w:bdr w:val="none" w:color="auto" w:sz="0" w:space="0"/>
          <w:shd w:val="clear" w:fill="FFFFFF"/>
        </w:rPr>
        <w:t>项目支出</w:t>
      </w:r>
      <w:r>
        <w:rPr>
          <w:rFonts w:hint="default" w:ascii="Times New Roman" w:hAnsi="Times New Roman" w:eastAsia="Helvetica" w:cs="Times New Roman"/>
          <w:b w:val="0"/>
          <w:bCs w:val="0"/>
          <w:i w:val="0"/>
          <w:iCs w:val="0"/>
          <w:caps w:val="0"/>
          <w:color w:val="333333"/>
          <w:spacing w:val="0"/>
          <w:sz w:val="24"/>
          <w:szCs w:val="24"/>
          <w:bdr w:val="none" w:color="auto" w:sz="0" w:space="0"/>
          <w:shd w:val="clear" w:fill="FFFFFF"/>
        </w:rPr>
        <w:t>”</w:t>
      </w:r>
      <w:r>
        <w:rPr>
          <w:rFonts w:hint="eastAsia" w:ascii="仿宋" w:hAnsi="仿宋" w:eastAsia="仿宋" w:cs="仿宋"/>
          <w:b w:val="0"/>
          <w:bCs w:val="0"/>
          <w:i w:val="0"/>
          <w:iCs w:val="0"/>
          <w:caps w:val="0"/>
          <w:color w:val="333333"/>
          <w:spacing w:val="0"/>
          <w:sz w:val="24"/>
          <w:szCs w:val="24"/>
          <w:bdr w:val="none" w:color="auto" w:sz="0" w:space="0"/>
          <w:shd w:val="clear" w:fill="FFFFFF"/>
        </w:rPr>
        <w:t>需要填报所有项目情况，包括业务工作项目、运行维护项目等；</w:t>
      </w:r>
      <w:r>
        <w:rPr>
          <w:rFonts w:hint="default" w:ascii="Times New Roman" w:hAnsi="Times New Roman" w:eastAsia="Helvetica" w:cs="Times New Roman"/>
          <w:b w:val="0"/>
          <w:bCs w:val="0"/>
          <w:i w:val="0"/>
          <w:iCs w:val="0"/>
          <w:caps w:val="0"/>
          <w:color w:val="333333"/>
          <w:spacing w:val="0"/>
          <w:sz w:val="24"/>
          <w:szCs w:val="24"/>
          <w:bdr w:val="none" w:color="auto" w:sz="0" w:space="0"/>
          <w:shd w:val="clear" w:fill="FFFFFF"/>
        </w:rPr>
        <w:t>“</w:t>
      </w:r>
      <w:r>
        <w:rPr>
          <w:rFonts w:hint="eastAsia" w:ascii="仿宋" w:hAnsi="仿宋" w:eastAsia="仿宋" w:cs="仿宋"/>
          <w:b w:val="0"/>
          <w:bCs w:val="0"/>
          <w:i w:val="0"/>
          <w:iCs w:val="0"/>
          <w:caps w:val="0"/>
          <w:color w:val="333333"/>
          <w:spacing w:val="0"/>
          <w:sz w:val="24"/>
          <w:szCs w:val="24"/>
          <w:bdr w:val="none" w:color="auto" w:sz="0" w:space="0"/>
          <w:shd w:val="clear" w:fill="FFFFFF"/>
        </w:rPr>
        <w:t>公用经费</w:t>
      </w:r>
      <w:r>
        <w:rPr>
          <w:rFonts w:hint="default" w:ascii="Times New Roman" w:hAnsi="Times New Roman" w:eastAsia="Helvetica" w:cs="Times New Roman"/>
          <w:b w:val="0"/>
          <w:bCs w:val="0"/>
          <w:i w:val="0"/>
          <w:iCs w:val="0"/>
          <w:caps w:val="0"/>
          <w:color w:val="333333"/>
          <w:spacing w:val="0"/>
          <w:sz w:val="24"/>
          <w:szCs w:val="24"/>
          <w:bdr w:val="none" w:color="auto" w:sz="0" w:space="0"/>
          <w:shd w:val="clear" w:fill="FFFFFF"/>
        </w:rPr>
        <w:t>”</w:t>
      </w:r>
      <w:r>
        <w:rPr>
          <w:rFonts w:hint="eastAsia" w:ascii="仿宋" w:hAnsi="仿宋" w:eastAsia="仿宋" w:cs="仿宋"/>
          <w:b w:val="0"/>
          <w:bCs w:val="0"/>
          <w:i w:val="0"/>
          <w:iCs w:val="0"/>
          <w:caps w:val="0"/>
          <w:color w:val="333333"/>
          <w:spacing w:val="0"/>
          <w:sz w:val="24"/>
          <w:szCs w:val="24"/>
          <w:bdr w:val="none" w:color="auto" w:sz="0" w:space="0"/>
          <w:shd w:val="clear" w:fill="FFFFFF"/>
        </w:rPr>
        <w:t>填报基本支出中的一般商品和服务支出。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6020A"/>
    <w:rsid w:val="5AF60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2022-06-24T10:54:00Z</dcterms:created>
  <dc:creator>lenovo</dc:creator>
  <cp:lastModifiedBy>lenovo</cp:lastModifiedBy>
  <dcterms:modified xsi:type="dcterms:W3CDTF">2022-06-24T10:55:14Z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3F03D4D28FF14F2F8D2166041CE0A987</vt:lpwstr>
  </property>
</Properties>
</file>