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kern w:val="0"/>
          <w:sz w:val="36"/>
          <w:szCs w:val="36"/>
        </w:rPr>
      </w:pPr>
      <w:r>
        <w:rPr>
          <w:rFonts w:hint="eastAsia" w:ascii="宋体" w:hAnsi="宋体" w:eastAsia="方正小标宋_GBK" w:cs="方正小标宋_GBK"/>
          <w:b/>
          <w:kern w:val="0"/>
          <w:sz w:val="44"/>
          <w:szCs w:val="44"/>
          <w:lang w:val="en-US" w:eastAsia="zh-CN"/>
        </w:rPr>
        <w:t xml:space="preserve"> </w:t>
      </w:r>
      <w:r>
        <w:rPr>
          <w:rFonts w:hint="eastAsia" w:ascii="Times New Roman" w:hAnsi="Times New Roman" w:eastAsia="方正小标宋_GBK" w:cs="Times New Roman"/>
          <w:kern w:val="0"/>
          <w:sz w:val="36"/>
          <w:szCs w:val="36"/>
          <w:lang w:val="en-US" w:eastAsia="zh-CN"/>
        </w:rPr>
        <w:t>2020</w:t>
      </w:r>
      <w:r>
        <w:rPr>
          <w:rFonts w:hint="eastAsia" w:ascii="Times New Roman" w:hAnsi="Times New Roman" w:eastAsia="方正小标宋_GBK" w:cs="方正小标宋_GBK"/>
          <w:kern w:val="0"/>
          <w:sz w:val="36"/>
          <w:szCs w:val="36"/>
        </w:rPr>
        <w:t>年度</w:t>
      </w:r>
      <w:r>
        <w:rPr>
          <w:rFonts w:hint="eastAsia" w:ascii="Times New Roman" w:hAnsi="Times New Roman" w:eastAsia="方正小标宋_GBK" w:cs="方正小标宋_GBK"/>
          <w:kern w:val="0"/>
          <w:sz w:val="36"/>
          <w:szCs w:val="36"/>
          <w:lang w:eastAsia="zh-CN"/>
        </w:rPr>
        <w:t>桃源县水利局</w:t>
      </w:r>
      <w:r>
        <w:rPr>
          <w:rFonts w:hint="eastAsia" w:ascii="Times New Roman" w:hAnsi="Times New Roman" w:eastAsia="方正小标宋_GBK" w:cs="方正小标宋_GBK"/>
          <w:kern w:val="0"/>
          <w:sz w:val="36"/>
          <w:szCs w:val="36"/>
        </w:rPr>
        <w:t>整体支出绩效报告</w:t>
      </w:r>
    </w:p>
    <w:p>
      <w:pPr>
        <w:widowControl/>
        <w:spacing w:line="560" w:lineRule="exact"/>
        <w:ind w:firstLine="640"/>
        <w:rPr>
          <w:rFonts w:ascii="Times New Roman" w:hAnsi="Times New Roman" w:eastAsia="仿宋_GB2312"/>
          <w:color w:val="222222"/>
          <w:kern w:val="0"/>
          <w:sz w:val="32"/>
          <w:szCs w:val="32"/>
        </w:rPr>
      </w:pPr>
    </w:p>
    <w:p>
      <w:pPr>
        <w:widowControl/>
        <w:spacing w:line="560" w:lineRule="exact"/>
        <w:ind w:firstLine="640"/>
        <w:rPr>
          <w:rFonts w:ascii="Times New Roman" w:hAnsi="Times New Roman" w:eastAsia="黑体"/>
          <w:color w:val="222222"/>
          <w:kern w:val="0"/>
          <w:sz w:val="32"/>
          <w:szCs w:val="32"/>
        </w:rPr>
      </w:pPr>
      <w:r>
        <w:rPr>
          <w:rFonts w:hint="eastAsia" w:ascii="Times New Roman" w:hAnsi="Times New Roman" w:eastAsia="黑体" w:cs="黑体"/>
          <w:color w:val="222222"/>
          <w:kern w:val="0"/>
          <w:sz w:val="32"/>
          <w:szCs w:val="32"/>
        </w:rPr>
        <w:t>一、部门概况</w:t>
      </w:r>
    </w:p>
    <w:p>
      <w:pPr>
        <w:widowControl/>
        <w:spacing w:line="560" w:lineRule="exact"/>
        <w:ind w:firstLine="640"/>
        <w:rPr>
          <w:rFonts w:hint="eastAsia" w:ascii="Times New Roman" w:hAnsi="仿宋" w:eastAsia="仿宋" w:cs="仿宋"/>
          <w:color w:val="222222"/>
          <w:kern w:val="0"/>
          <w:sz w:val="32"/>
          <w:szCs w:val="32"/>
        </w:rPr>
      </w:pPr>
      <w:r>
        <w:rPr>
          <w:rFonts w:hint="eastAsia" w:ascii="Times New Roman" w:hAnsi="仿宋" w:eastAsia="仿宋" w:cs="仿宋"/>
          <w:color w:val="222222"/>
          <w:kern w:val="0"/>
          <w:sz w:val="32"/>
          <w:szCs w:val="32"/>
        </w:rPr>
        <w:t>（一）</w:t>
      </w:r>
      <w:r>
        <w:rPr>
          <w:rFonts w:ascii="Times New Roman" w:hAnsi="Times New Roman" w:eastAsia="仿宋" w:cs="Times New Roman"/>
          <w:color w:val="222222"/>
          <w:kern w:val="0"/>
          <w:sz w:val="32"/>
          <w:szCs w:val="32"/>
        </w:rPr>
        <w:t xml:space="preserve"> </w:t>
      </w:r>
      <w:r>
        <w:rPr>
          <w:rFonts w:hint="eastAsia" w:ascii="Times New Roman" w:hAnsi="仿宋" w:eastAsia="仿宋" w:cs="仿宋"/>
          <w:color w:val="222222"/>
          <w:kern w:val="0"/>
          <w:sz w:val="32"/>
          <w:szCs w:val="32"/>
        </w:rPr>
        <w:t>机构、人员构成</w:t>
      </w:r>
    </w:p>
    <w:p>
      <w:pPr>
        <w:ind w:firstLine="645"/>
        <w:rPr>
          <w:rFonts w:hint="eastAsia" w:ascii="华文仿宋" w:hAnsi="华文仿宋" w:eastAsia="华文仿宋"/>
          <w:sz w:val="32"/>
          <w:szCs w:val="32"/>
        </w:rPr>
      </w:pPr>
      <w:r>
        <w:rPr>
          <w:rFonts w:hint="eastAsia" w:ascii="华文仿宋" w:hAnsi="华文仿宋" w:eastAsia="华文仿宋"/>
          <w:sz w:val="32"/>
          <w:szCs w:val="32"/>
        </w:rPr>
        <w:t>桃源县水利局是全额拨款的行政单位。现有编制</w:t>
      </w:r>
      <w:r>
        <w:rPr>
          <w:rFonts w:hint="eastAsia" w:ascii="华文仿宋" w:hAnsi="华文仿宋" w:eastAsia="华文仿宋"/>
          <w:sz w:val="32"/>
          <w:szCs w:val="32"/>
          <w:lang w:val="en-US" w:eastAsia="zh-CN"/>
        </w:rPr>
        <w:t>95</w:t>
      </w:r>
      <w:r>
        <w:rPr>
          <w:rFonts w:hint="eastAsia" w:ascii="华文仿宋" w:hAnsi="华文仿宋" w:eastAsia="华文仿宋"/>
          <w:sz w:val="32"/>
          <w:szCs w:val="32"/>
        </w:rPr>
        <w:t>名，20</w:t>
      </w:r>
      <w:r>
        <w:rPr>
          <w:rFonts w:hint="eastAsia" w:ascii="华文仿宋" w:hAnsi="华文仿宋" w:eastAsia="华文仿宋"/>
          <w:sz w:val="32"/>
          <w:szCs w:val="32"/>
          <w:lang w:val="en-US" w:eastAsia="zh-CN"/>
        </w:rPr>
        <w:t>20</w:t>
      </w:r>
      <w:r>
        <w:rPr>
          <w:rFonts w:hint="eastAsia" w:ascii="华文仿宋" w:hAnsi="华文仿宋" w:eastAsia="华文仿宋"/>
          <w:sz w:val="32"/>
          <w:szCs w:val="32"/>
        </w:rPr>
        <w:t>年初在职人员</w:t>
      </w:r>
      <w:r>
        <w:rPr>
          <w:rFonts w:hint="eastAsia" w:ascii="华文仿宋" w:hAnsi="华文仿宋" w:eastAsia="华文仿宋"/>
          <w:sz w:val="32"/>
          <w:szCs w:val="32"/>
          <w:lang w:val="en-US" w:eastAsia="zh-CN"/>
        </w:rPr>
        <w:t>75</w:t>
      </w:r>
      <w:r>
        <w:rPr>
          <w:rFonts w:hint="eastAsia" w:ascii="华文仿宋" w:hAnsi="华文仿宋" w:eastAsia="华文仿宋"/>
          <w:sz w:val="32"/>
          <w:szCs w:val="32"/>
        </w:rPr>
        <w:t>人，年末在职人员</w:t>
      </w:r>
      <w:r>
        <w:rPr>
          <w:rFonts w:hint="eastAsia" w:ascii="华文仿宋" w:hAnsi="华文仿宋" w:eastAsia="华文仿宋"/>
          <w:sz w:val="32"/>
          <w:szCs w:val="32"/>
          <w:lang w:val="en-US" w:eastAsia="zh-CN"/>
        </w:rPr>
        <w:t>78</w:t>
      </w:r>
      <w:r>
        <w:rPr>
          <w:rFonts w:hint="eastAsia" w:ascii="华文仿宋" w:hAnsi="华文仿宋" w:eastAsia="华文仿宋"/>
          <w:sz w:val="32"/>
          <w:szCs w:val="32"/>
        </w:rPr>
        <w:t>人，退休</w:t>
      </w:r>
      <w:r>
        <w:rPr>
          <w:rFonts w:hint="eastAsia" w:ascii="华文仿宋" w:hAnsi="华文仿宋" w:eastAsia="华文仿宋"/>
          <w:sz w:val="32"/>
          <w:szCs w:val="32"/>
          <w:lang w:val="en-US" w:eastAsia="zh-CN"/>
        </w:rPr>
        <w:t>77</w:t>
      </w:r>
      <w:r>
        <w:rPr>
          <w:rFonts w:hint="eastAsia" w:ascii="华文仿宋" w:hAnsi="华文仿宋" w:eastAsia="华文仿宋"/>
          <w:sz w:val="32"/>
          <w:szCs w:val="32"/>
        </w:rPr>
        <w:t>人；</w:t>
      </w:r>
      <w:r>
        <w:rPr>
          <w:rFonts w:hint="eastAsia" w:ascii="华文仿宋" w:hAnsi="华文仿宋" w:eastAsia="华文仿宋"/>
          <w:sz w:val="32"/>
          <w:szCs w:val="32"/>
          <w:lang w:eastAsia="zh-CN"/>
        </w:rPr>
        <w:t>军转再就业安置人员</w:t>
      </w:r>
      <w:r>
        <w:rPr>
          <w:rFonts w:hint="eastAsia" w:ascii="华文仿宋" w:hAnsi="华文仿宋" w:eastAsia="华文仿宋"/>
          <w:sz w:val="32"/>
          <w:szCs w:val="32"/>
          <w:lang w:val="en-US" w:eastAsia="zh-CN"/>
        </w:rPr>
        <w:t>1人;</w:t>
      </w:r>
      <w:r>
        <w:rPr>
          <w:rFonts w:hint="eastAsia" w:ascii="华文仿宋" w:hAnsi="华文仿宋" w:eastAsia="华文仿宋"/>
          <w:sz w:val="32"/>
          <w:szCs w:val="32"/>
        </w:rPr>
        <w:t>临时聘请人员1人，抚恤对象1</w:t>
      </w:r>
      <w:r>
        <w:rPr>
          <w:rFonts w:hint="eastAsia" w:ascii="华文仿宋" w:hAnsi="华文仿宋" w:eastAsia="华文仿宋"/>
          <w:sz w:val="32"/>
          <w:szCs w:val="32"/>
          <w:lang w:val="en-US" w:eastAsia="zh-CN"/>
        </w:rPr>
        <w:t>5</w:t>
      </w:r>
      <w:r>
        <w:rPr>
          <w:rFonts w:hint="eastAsia" w:ascii="华文仿宋" w:hAnsi="华文仿宋" w:eastAsia="华文仿宋"/>
          <w:sz w:val="32"/>
          <w:szCs w:val="32"/>
        </w:rPr>
        <w:t>人。车辆编制3台，实有防汛工具车1台，</w:t>
      </w:r>
      <w:r>
        <w:rPr>
          <w:rFonts w:hint="eastAsia" w:ascii="华文仿宋" w:hAnsi="华文仿宋" w:eastAsia="华文仿宋"/>
          <w:sz w:val="32"/>
          <w:szCs w:val="32"/>
          <w:lang w:val="en-US" w:eastAsia="zh-CN"/>
        </w:rPr>
        <w:t>已报废停用。</w:t>
      </w:r>
      <w:r>
        <w:rPr>
          <w:rFonts w:hint="eastAsia" w:ascii="华文仿宋" w:hAnsi="华文仿宋" w:eastAsia="华文仿宋"/>
          <w:sz w:val="32"/>
          <w:szCs w:val="32"/>
        </w:rPr>
        <w:t>局机关共设有16个股、室、站、院、中心。局直管</w:t>
      </w:r>
      <w:r>
        <w:rPr>
          <w:rFonts w:hint="eastAsia" w:ascii="华文仿宋" w:hAnsi="华文仿宋" w:eastAsia="华文仿宋"/>
          <w:sz w:val="32"/>
          <w:szCs w:val="32"/>
          <w:lang w:val="en-US" w:eastAsia="zh-CN"/>
        </w:rPr>
        <w:t>7</w:t>
      </w:r>
      <w:r>
        <w:rPr>
          <w:rFonts w:hint="eastAsia" w:ascii="华文仿宋" w:hAnsi="华文仿宋" w:eastAsia="华文仿宋"/>
          <w:sz w:val="32"/>
          <w:szCs w:val="32"/>
        </w:rPr>
        <w:t>个水库管理单位，4个堤垸管理单位，1个泵站管理单位共1</w:t>
      </w:r>
      <w:r>
        <w:rPr>
          <w:rFonts w:hint="eastAsia" w:ascii="华文仿宋" w:hAnsi="华文仿宋" w:eastAsia="华文仿宋"/>
          <w:sz w:val="32"/>
          <w:szCs w:val="32"/>
          <w:lang w:val="en-US" w:eastAsia="zh-CN"/>
        </w:rPr>
        <w:t>2</w:t>
      </w:r>
      <w:r>
        <w:rPr>
          <w:rFonts w:hint="eastAsia" w:ascii="华文仿宋" w:hAnsi="华文仿宋" w:eastAsia="华文仿宋"/>
          <w:sz w:val="32"/>
          <w:szCs w:val="32"/>
        </w:rPr>
        <w:t>个单位</w:t>
      </w:r>
      <w:r>
        <w:rPr>
          <w:rFonts w:hint="eastAsia" w:ascii="华文仿宋" w:hAnsi="华文仿宋" w:eastAsia="华文仿宋"/>
          <w:sz w:val="32"/>
          <w:szCs w:val="32"/>
          <w:lang w:val="en-US" w:eastAsia="zh-CN"/>
        </w:rPr>
        <w:t>312</w:t>
      </w:r>
      <w:r>
        <w:rPr>
          <w:rFonts w:hint="eastAsia" w:ascii="华文仿宋" w:hAnsi="华文仿宋" w:eastAsia="华文仿宋"/>
          <w:sz w:val="32"/>
          <w:szCs w:val="32"/>
        </w:rPr>
        <w:t>人。</w:t>
      </w:r>
    </w:p>
    <w:p>
      <w:pPr>
        <w:widowControl/>
        <w:numPr>
          <w:ilvl w:val="0"/>
          <w:numId w:val="1"/>
        </w:numPr>
        <w:spacing w:line="560" w:lineRule="exact"/>
        <w:ind w:firstLine="640" w:firstLineChars="200"/>
        <w:rPr>
          <w:rFonts w:hint="eastAsia" w:ascii="Times New Roman" w:hAnsi="仿宋" w:eastAsia="仿宋" w:cs="仿宋"/>
          <w:color w:val="222222"/>
          <w:kern w:val="0"/>
          <w:sz w:val="32"/>
          <w:szCs w:val="32"/>
        </w:rPr>
      </w:pPr>
      <w:r>
        <w:rPr>
          <w:rFonts w:hint="eastAsia" w:ascii="Times New Roman" w:hAnsi="仿宋" w:eastAsia="仿宋" w:cs="仿宋"/>
          <w:color w:val="222222"/>
          <w:kern w:val="0"/>
          <w:sz w:val="32"/>
          <w:szCs w:val="32"/>
        </w:rPr>
        <w:t>单位主要职责</w:t>
      </w:r>
    </w:p>
    <w:p>
      <w:pPr>
        <w:tabs>
          <w:tab w:val="left" w:pos="2640"/>
        </w:tabs>
        <w:spacing w:line="600" w:lineRule="exact"/>
        <w:ind w:firstLine="640" w:firstLineChars="200"/>
        <w:rPr>
          <w:rFonts w:hint="default" w:ascii="Times New Roman" w:hAnsi="仿宋" w:eastAsia="仿宋" w:cs="仿宋"/>
          <w:color w:val="222222"/>
          <w:kern w:val="0"/>
          <w:sz w:val="32"/>
          <w:szCs w:val="32"/>
          <w:lang w:val="en-US" w:eastAsia="zh-CN"/>
        </w:rPr>
      </w:pPr>
      <w:r>
        <w:rPr>
          <w:rFonts w:hint="eastAsia" w:ascii="Times New Roman" w:hAnsi="仿宋" w:eastAsia="仿宋" w:cs="仿宋"/>
          <w:color w:val="222222"/>
          <w:kern w:val="0"/>
          <w:sz w:val="32"/>
          <w:szCs w:val="32"/>
          <w:lang w:val="en-US" w:eastAsia="zh-CN"/>
        </w:rPr>
        <w:t xml:space="preserve"> </w:t>
      </w:r>
      <w:r>
        <w:rPr>
          <w:rFonts w:hint="eastAsia" w:ascii="华文仿宋" w:hAnsi="华文仿宋" w:eastAsia="华文仿宋"/>
          <w:sz w:val="32"/>
          <w:szCs w:val="32"/>
        </w:rPr>
        <w:t>桃源县水利局是以防汛抗旱、农田水利建设、水资源管理为主要职能的政府工作局</w:t>
      </w:r>
      <w:r>
        <w:rPr>
          <w:rFonts w:hint="eastAsia" w:ascii="华文仿宋" w:hAnsi="华文仿宋" w:eastAsia="华文仿宋"/>
          <w:sz w:val="32"/>
          <w:szCs w:val="32"/>
          <w:lang w:eastAsia="zh-CN"/>
        </w:rPr>
        <w:t>。</w:t>
      </w:r>
    </w:p>
    <w:p>
      <w:pPr>
        <w:widowControl/>
        <w:spacing w:line="560" w:lineRule="exact"/>
        <w:ind w:firstLine="640"/>
        <w:rPr>
          <w:rFonts w:ascii="Times New Roman" w:hAnsi="Times New Roman" w:eastAsia="黑体"/>
          <w:color w:val="222222"/>
          <w:kern w:val="0"/>
          <w:sz w:val="32"/>
          <w:szCs w:val="32"/>
        </w:rPr>
      </w:pPr>
      <w:r>
        <w:rPr>
          <w:rFonts w:hint="eastAsia" w:ascii="Times New Roman" w:hAnsi="Times New Roman" w:eastAsia="黑体" w:cs="黑体"/>
          <w:color w:val="222222"/>
          <w:kern w:val="0"/>
          <w:sz w:val="32"/>
          <w:szCs w:val="32"/>
        </w:rPr>
        <w:t>二、部门财务情况</w:t>
      </w:r>
    </w:p>
    <w:p>
      <w:pPr>
        <w:widowControl/>
        <w:spacing w:line="560" w:lineRule="exact"/>
        <w:ind w:firstLine="640"/>
        <w:rPr>
          <w:rFonts w:hint="eastAsia" w:ascii="Times New Roman" w:hAnsi="仿宋" w:eastAsia="仿宋" w:cs="仿宋"/>
          <w:color w:val="222222"/>
          <w:kern w:val="0"/>
          <w:sz w:val="32"/>
          <w:szCs w:val="32"/>
        </w:rPr>
      </w:pPr>
      <w:r>
        <w:rPr>
          <w:rFonts w:hint="eastAsia" w:ascii="Times New Roman" w:hAnsi="仿宋" w:eastAsia="仿宋" w:cs="仿宋"/>
          <w:color w:val="222222"/>
          <w:kern w:val="0"/>
          <w:sz w:val="32"/>
          <w:szCs w:val="32"/>
        </w:rPr>
        <w:t>（一）部门整体支出情况</w:t>
      </w:r>
    </w:p>
    <w:p>
      <w:pPr>
        <w:tabs>
          <w:tab w:val="left" w:pos="2640"/>
        </w:tabs>
        <w:spacing w:line="600" w:lineRule="exact"/>
        <w:ind w:firstLine="480" w:firstLineChars="150"/>
        <w:rPr>
          <w:rFonts w:hint="eastAsia" w:ascii="仿宋" w:hAnsi="仿宋" w:eastAsia="仿宋" w:cs="仿宋"/>
          <w:sz w:val="32"/>
          <w:szCs w:val="32"/>
        </w:rPr>
      </w:pPr>
      <w:r>
        <w:rPr>
          <w:rFonts w:hint="eastAsia" w:ascii="仿宋" w:hAnsi="仿宋" w:eastAsia="仿宋" w:cs="仿宋"/>
          <w:sz w:val="32"/>
          <w:szCs w:val="32"/>
          <w:lang w:val="en-US" w:eastAsia="zh-CN"/>
        </w:rPr>
        <w:t>2020</w:t>
      </w:r>
      <w:r>
        <w:rPr>
          <w:rFonts w:hint="eastAsia" w:ascii="仿宋" w:hAnsi="仿宋" w:eastAsia="仿宋" w:cs="仿宋"/>
          <w:sz w:val="32"/>
          <w:szCs w:val="32"/>
        </w:rPr>
        <w:t>年</w:t>
      </w:r>
      <w:r>
        <w:rPr>
          <w:rFonts w:hint="eastAsia" w:ascii="仿宋" w:hAnsi="仿宋" w:eastAsia="仿宋" w:cs="仿宋"/>
          <w:sz w:val="32"/>
          <w:szCs w:val="32"/>
          <w:lang w:eastAsia="zh-CN"/>
        </w:rPr>
        <w:t>水利</w:t>
      </w:r>
      <w:r>
        <w:rPr>
          <w:rFonts w:hint="eastAsia" w:ascii="仿宋" w:hAnsi="仿宋" w:eastAsia="仿宋" w:cs="仿宋"/>
          <w:sz w:val="32"/>
          <w:szCs w:val="32"/>
        </w:rPr>
        <w:t>局共发生公共预算财政拨款支出</w:t>
      </w:r>
      <w:r>
        <w:rPr>
          <w:rFonts w:hint="eastAsia" w:ascii="华文仿宋" w:hAnsi="华文仿宋" w:eastAsia="华文仿宋"/>
          <w:kern w:val="0"/>
          <w:sz w:val="30"/>
          <w:szCs w:val="30"/>
          <w:lang w:val="en-US" w:eastAsia="zh-CN"/>
        </w:rPr>
        <w:t>10801.75</w:t>
      </w:r>
      <w:r>
        <w:rPr>
          <w:rFonts w:hint="eastAsia" w:ascii="华文仿宋" w:hAnsi="华文仿宋" w:eastAsia="华文仿宋"/>
          <w:kern w:val="0"/>
          <w:sz w:val="30"/>
          <w:szCs w:val="30"/>
        </w:rPr>
        <w:t>万元</w:t>
      </w:r>
      <w:r>
        <w:rPr>
          <w:rFonts w:hint="eastAsia"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w:t>
      </w:r>
      <w:r>
        <w:rPr>
          <w:rFonts w:hint="eastAsia" w:ascii="仿宋" w:hAnsi="仿宋" w:eastAsia="仿宋" w:cs="仿宋"/>
          <w:sz w:val="32"/>
          <w:szCs w:val="32"/>
          <w:lang w:eastAsia="zh-CN"/>
        </w:rPr>
        <w:t>水利</w:t>
      </w:r>
      <w:r>
        <w:rPr>
          <w:rFonts w:hint="eastAsia" w:ascii="仿宋" w:hAnsi="仿宋" w:eastAsia="仿宋" w:cs="仿宋"/>
          <w:sz w:val="32"/>
          <w:szCs w:val="32"/>
        </w:rPr>
        <w:t>局共发生公共预算财政拨款支出</w:t>
      </w:r>
      <w:r>
        <w:rPr>
          <w:rFonts w:hint="eastAsia" w:ascii="华文仿宋" w:hAnsi="华文仿宋" w:eastAsia="华文仿宋"/>
          <w:kern w:val="0"/>
          <w:sz w:val="30"/>
          <w:szCs w:val="30"/>
          <w:lang w:val="en-US" w:eastAsia="zh-CN"/>
        </w:rPr>
        <w:t>12210.94</w:t>
      </w:r>
      <w:r>
        <w:rPr>
          <w:rFonts w:hint="eastAsia" w:ascii="仿宋" w:hAnsi="仿宋" w:eastAsia="仿宋" w:cs="仿宋"/>
          <w:sz w:val="32"/>
          <w:szCs w:val="32"/>
          <w:lang w:val="en-US" w:eastAsia="zh-CN"/>
        </w:rPr>
        <w:t>万</w:t>
      </w:r>
      <w:r>
        <w:rPr>
          <w:rFonts w:hint="eastAsia" w:ascii="仿宋" w:hAnsi="仿宋" w:eastAsia="仿宋" w:cs="仿宋"/>
          <w:sz w:val="32"/>
          <w:szCs w:val="32"/>
        </w:rPr>
        <w:t>元，今年较去年减少</w:t>
      </w:r>
      <w:r>
        <w:rPr>
          <w:rFonts w:hint="eastAsia" w:ascii="仿宋" w:hAnsi="仿宋" w:eastAsia="仿宋" w:cs="仿宋"/>
          <w:sz w:val="32"/>
          <w:szCs w:val="32"/>
          <w:lang w:val="en-US" w:eastAsia="zh-CN"/>
        </w:rPr>
        <w:t>11.54%</w:t>
      </w:r>
      <w:r>
        <w:rPr>
          <w:rFonts w:hint="eastAsia" w:ascii="仿宋" w:hAnsi="仿宋" w:eastAsia="仿宋" w:cs="仿宋"/>
          <w:sz w:val="32"/>
          <w:szCs w:val="32"/>
        </w:rPr>
        <w:t>。</w:t>
      </w:r>
    </w:p>
    <w:p>
      <w:pPr>
        <w:tabs>
          <w:tab w:val="left" w:pos="2640"/>
        </w:tabs>
        <w:spacing w:line="600" w:lineRule="exact"/>
        <w:ind w:firstLine="480" w:firstLineChars="150"/>
        <w:rPr>
          <w:rFonts w:hint="eastAsia" w:ascii="仿宋" w:hAnsi="仿宋" w:eastAsia="仿宋" w:cs="仿宋"/>
          <w:color w:val="222222"/>
          <w:kern w:val="0"/>
          <w:sz w:val="32"/>
          <w:szCs w:val="32"/>
        </w:rPr>
      </w:pPr>
      <w:r>
        <w:rPr>
          <w:rFonts w:hint="eastAsia" w:ascii="仿宋" w:hAnsi="仿宋" w:eastAsia="仿宋" w:cs="仿宋"/>
          <w:color w:val="222222"/>
          <w:kern w:val="0"/>
          <w:sz w:val="32"/>
          <w:szCs w:val="32"/>
          <w:lang w:eastAsia="zh-CN"/>
        </w:rPr>
        <w:t>（二）</w:t>
      </w:r>
      <w:r>
        <w:rPr>
          <w:rFonts w:hint="eastAsia" w:ascii="仿宋" w:hAnsi="仿宋" w:eastAsia="仿宋" w:cs="仿宋"/>
          <w:color w:val="222222"/>
          <w:kern w:val="0"/>
          <w:sz w:val="32"/>
          <w:szCs w:val="32"/>
        </w:rPr>
        <w:t>部门预算收支决算情况</w:t>
      </w:r>
    </w:p>
    <w:p>
      <w:pPr>
        <w:tabs>
          <w:tab w:val="left" w:pos="2640"/>
        </w:tabs>
        <w:spacing w:line="600" w:lineRule="exact"/>
        <w:ind w:firstLine="480" w:firstLineChars="15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eastAsia="zh-CN"/>
        </w:rPr>
        <w:t>水利</w:t>
      </w:r>
      <w:r>
        <w:rPr>
          <w:rFonts w:hint="eastAsia" w:ascii="仿宋" w:hAnsi="仿宋" w:eastAsia="仿宋" w:cs="仿宋"/>
          <w:sz w:val="32"/>
          <w:szCs w:val="32"/>
        </w:rPr>
        <w:t>局</w:t>
      </w:r>
      <w:r>
        <w:rPr>
          <w:rFonts w:hint="eastAsia" w:ascii="仿宋" w:hAnsi="仿宋" w:eastAsia="仿宋" w:cs="仿宋"/>
          <w:sz w:val="32"/>
          <w:szCs w:val="32"/>
          <w:lang w:eastAsia="zh-CN"/>
        </w:rPr>
        <w:t>共有</w:t>
      </w:r>
      <w:r>
        <w:rPr>
          <w:rFonts w:hint="eastAsia" w:ascii="仿宋" w:hAnsi="仿宋" w:eastAsia="仿宋" w:cs="仿宋"/>
          <w:sz w:val="32"/>
          <w:szCs w:val="32"/>
        </w:rPr>
        <w:t>公共预算财政拨款收入</w:t>
      </w:r>
      <w:r>
        <w:rPr>
          <w:rFonts w:hint="eastAsia" w:ascii="仿宋" w:hAnsi="仿宋" w:eastAsia="仿宋" w:cs="仿宋"/>
          <w:sz w:val="32"/>
          <w:szCs w:val="32"/>
          <w:lang w:val="en-US" w:eastAsia="zh-CN"/>
        </w:rPr>
        <w:t>12685.96万</w:t>
      </w:r>
      <w:r>
        <w:rPr>
          <w:rFonts w:hint="eastAsia" w:ascii="仿宋" w:hAnsi="仿宋" w:eastAsia="仿宋" w:cs="仿宋"/>
          <w:sz w:val="32"/>
          <w:szCs w:val="32"/>
        </w:rPr>
        <w:t>元。支出</w:t>
      </w:r>
      <w:r>
        <w:rPr>
          <w:rFonts w:hint="eastAsia" w:ascii="仿宋" w:hAnsi="仿宋" w:eastAsia="仿宋" w:cs="仿宋"/>
          <w:sz w:val="32"/>
          <w:szCs w:val="32"/>
          <w:lang w:val="en-US" w:eastAsia="zh-CN"/>
        </w:rPr>
        <w:t>10801.75万</w:t>
      </w:r>
      <w:r>
        <w:rPr>
          <w:rFonts w:hint="eastAsia" w:ascii="仿宋" w:hAnsi="仿宋" w:eastAsia="仿宋" w:cs="仿宋"/>
          <w:sz w:val="32"/>
          <w:szCs w:val="32"/>
        </w:rPr>
        <w:t>元</w:t>
      </w:r>
      <w:r>
        <w:rPr>
          <w:rFonts w:hint="eastAsia" w:ascii="仿宋" w:hAnsi="仿宋" w:eastAsia="仿宋" w:cs="仿宋"/>
          <w:sz w:val="32"/>
          <w:szCs w:val="32"/>
          <w:lang w:eastAsia="zh-CN"/>
        </w:rPr>
        <w:t>。</w:t>
      </w:r>
    </w:p>
    <w:p>
      <w:pPr>
        <w:tabs>
          <w:tab w:val="left" w:pos="2640"/>
        </w:tabs>
        <w:spacing w:line="600" w:lineRule="exact"/>
        <w:ind w:firstLine="480" w:firstLineChars="150"/>
        <w:rPr>
          <w:rFonts w:hint="eastAsia" w:ascii="Times New Roman" w:hAnsi="仿宋" w:eastAsia="仿宋" w:cs="仿宋"/>
          <w:color w:val="222222"/>
          <w:kern w:val="0"/>
          <w:sz w:val="32"/>
          <w:szCs w:val="32"/>
        </w:rPr>
      </w:pPr>
      <w:r>
        <w:rPr>
          <w:rFonts w:hint="eastAsia" w:ascii="Times New Roman" w:hAnsi="仿宋" w:eastAsia="仿宋" w:cs="仿宋"/>
          <w:color w:val="222222"/>
          <w:kern w:val="0"/>
          <w:sz w:val="32"/>
          <w:szCs w:val="32"/>
        </w:rPr>
        <w:t>（三）</w:t>
      </w:r>
      <w:r>
        <w:rPr>
          <w:rFonts w:ascii="Times New Roman" w:hAnsi="Times New Roman" w:eastAsia="仿宋" w:cs="Times New Roman"/>
          <w:color w:val="222222"/>
          <w:kern w:val="0"/>
          <w:sz w:val="32"/>
          <w:szCs w:val="32"/>
        </w:rPr>
        <w:t xml:space="preserve"> </w:t>
      </w:r>
      <w:r>
        <w:rPr>
          <w:rFonts w:hint="eastAsia" w:ascii="Times New Roman" w:hAnsi="Times New Roman" w:eastAsia="仿宋" w:cs="仿宋"/>
          <w:color w:val="222222"/>
          <w:kern w:val="0"/>
          <w:sz w:val="32"/>
          <w:szCs w:val="32"/>
        </w:rPr>
        <w:t>“</w:t>
      </w:r>
      <w:r>
        <w:rPr>
          <w:rFonts w:hint="eastAsia" w:ascii="Times New Roman" w:hAnsi="仿宋" w:eastAsia="仿宋" w:cs="仿宋"/>
          <w:color w:val="222222"/>
          <w:kern w:val="0"/>
          <w:sz w:val="32"/>
          <w:szCs w:val="32"/>
        </w:rPr>
        <w:t>三公经费</w:t>
      </w:r>
      <w:r>
        <w:rPr>
          <w:rFonts w:hint="eastAsia" w:ascii="Times New Roman" w:hAnsi="Times New Roman" w:eastAsia="仿宋" w:cs="仿宋"/>
          <w:color w:val="222222"/>
          <w:kern w:val="0"/>
          <w:sz w:val="32"/>
          <w:szCs w:val="32"/>
        </w:rPr>
        <w:t>”</w:t>
      </w:r>
      <w:r>
        <w:rPr>
          <w:rFonts w:hint="eastAsia" w:ascii="Times New Roman" w:hAnsi="仿宋" w:eastAsia="仿宋" w:cs="仿宋"/>
          <w:color w:val="222222"/>
          <w:kern w:val="0"/>
          <w:sz w:val="32"/>
          <w:szCs w:val="32"/>
        </w:rPr>
        <w:t>支出使用和管理情况</w:t>
      </w:r>
    </w:p>
    <w:p>
      <w:pPr>
        <w:tabs>
          <w:tab w:val="left" w:pos="2640"/>
        </w:tabs>
        <w:spacing w:line="600" w:lineRule="exact"/>
        <w:ind w:firstLine="480" w:firstLineChars="150"/>
        <w:rPr>
          <w:rFonts w:hint="default" w:ascii="Times New Roman" w:hAnsi="仿宋" w:eastAsia="仿宋" w:cs="仿宋"/>
          <w:color w:val="222222"/>
          <w:kern w:val="0"/>
          <w:sz w:val="32"/>
          <w:szCs w:val="32"/>
          <w:lang w:val="en-US" w:eastAsia="zh-CN"/>
        </w:rPr>
      </w:pPr>
      <w:r>
        <w:rPr>
          <w:rFonts w:hint="eastAsia" w:ascii="Times New Roman" w:hAnsi="仿宋" w:eastAsia="仿宋" w:cs="仿宋"/>
          <w:color w:val="222222"/>
          <w:kern w:val="0"/>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eastAsia="zh-CN"/>
        </w:rPr>
        <w:t>水利</w:t>
      </w:r>
      <w:r>
        <w:rPr>
          <w:rFonts w:hint="eastAsia" w:ascii="仿宋" w:hAnsi="仿宋" w:eastAsia="仿宋" w:cs="仿宋"/>
          <w:sz w:val="32"/>
          <w:szCs w:val="32"/>
        </w:rPr>
        <w:t>局</w:t>
      </w:r>
      <w:r>
        <w:rPr>
          <w:rFonts w:hint="eastAsia" w:ascii="仿宋" w:hAnsi="仿宋" w:eastAsia="仿宋" w:cs="仿宋"/>
          <w:sz w:val="32"/>
          <w:szCs w:val="32"/>
          <w:lang w:eastAsia="zh-CN"/>
        </w:rPr>
        <w:t>无因公出国（境）支出</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发生公务用车购置及运行维护费支出</w:t>
      </w:r>
      <w:r>
        <w:rPr>
          <w:rFonts w:hint="eastAsia" w:ascii="仿宋" w:hAnsi="仿宋" w:eastAsia="仿宋" w:cs="仿宋"/>
          <w:sz w:val="32"/>
          <w:szCs w:val="32"/>
          <w:lang w:val="en-US" w:eastAsia="zh-CN"/>
        </w:rPr>
        <w:t>10.04万元、公务接待费支出</w:t>
      </w:r>
      <w:bookmarkStart w:id="0" w:name="_GoBack"/>
      <w:r>
        <w:rPr>
          <w:rFonts w:hint="eastAsia" w:ascii="仿宋" w:hAnsi="仿宋" w:eastAsia="仿宋" w:cs="仿宋"/>
          <w:sz w:val="32"/>
          <w:szCs w:val="32"/>
          <w:lang w:val="en-US" w:eastAsia="zh-CN"/>
        </w:rPr>
        <w:t>17.96</w:t>
      </w:r>
      <w:bookmarkEnd w:id="0"/>
      <w:r>
        <w:rPr>
          <w:rFonts w:hint="eastAsia" w:ascii="仿宋" w:hAnsi="仿宋" w:eastAsia="仿宋" w:cs="仿宋"/>
          <w:sz w:val="32"/>
          <w:szCs w:val="32"/>
          <w:lang w:val="en-US" w:eastAsia="zh-CN"/>
        </w:rPr>
        <w:t>万元。</w:t>
      </w:r>
    </w:p>
    <w:p>
      <w:pPr>
        <w:widowControl/>
        <w:spacing w:line="560" w:lineRule="exact"/>
        <w:ind w:firstLine="640"/>
        <w:rPr>
          <w:rFonts w:ascii="Times New Roman" w:hAnsi="Times New Roman" w:eastAsia="黑体"/>
          <w:color w:val="222222"/>
          <w:kern w:val="0"/>
          <w:sz w:val="32"/>
          <w:szCs w:val="32"/>
        </w:rPr>
      </w:pPr>
      <w:r>
        <w:rPr>
          <w:rFonts w:hint="eastAsia" w:ascii="Times New Roman" w:hAnsi="Times New Roman" w:eastAsia="黑体" w:cs="黑体"/>
          <w:color w:val="222222"/>
          <w:kern w:val="0"/>
          <w:sz w:val="32"/>
          <w:szCs w:val="32"/>
        </w:rPr>
        <w:t>三、部门绩效目标</w:t>
      </w:r>
    </w:p>
    <w:p>
      <w:pPr>
        <w:widowControl/>
        <w:spacing w:line="560" w:lineRule="exact"/>
        <w:ind w:firstLine="640"/>
        <w:rPr>
          <w:rFonts w:hint="eastAsia" w:ascii="Times New Roman" w:hAnsi="仿宋" w:eastAsia="仿宋" w:cs="仿宋"/>
          <w:color w:val="222222"/>
          <w:kern w:val="0"/>
          <w:sz w:val="32"/>
          <w:szCs w:val="32"/>
        </w:rPr>
      </w:pPr>
      <w:r>
        <w:rPr>
          <w:rFonts w:hint="eastAsia" w:ascii="Times New Roman" w:hAnsi="仿宋" w:eastAsia="仿宋" w:cs="仿宋"/>
          <w:color w:val="222222"/>
          <w:kern w:val="0"/>
          <w:sz w:val="32"/>
          <w:szCs w:val="32"/>
        </w:rPr>
        <w:t>部门绩效总目标</w:t>
      </w:r>
      <w:r>
        <w:rPr>
          <w:rFonts w:hint="eastAsia" w:ascii="Times New Roman" w:hAnsi="仿宋" w:eastAsia="仿宋" w:cs="仿宋"/>
          <w:color w:val="222222"/>
          <w:kern w:val="0"/>
          <w:sz w:val="32"/>
          <w:szCs w:val="32"/>
          <w:lang w:val="en-US" w:eastAsia="zh-CN"/>
        </w:rPr>
        <w:t>:</w:t>
      </w:r>
    </w:p>
    <w:p>
      <w:pPr>
        <w:autoSpaceDE w:val="0"/>
        <w:autoSpaceDN w:val="0"/>
        <w:adjustRightInd w:val="0"/>
        <w:ind w:firstLine="588" w:firstLineChars="196"/>
        <w:rPr>
          <w:rFonts w:hint="eastAsia" w:ascii="Times New Roman" w:hAnsi="仿宋" w:eastAsia="仿宋" w:cs="仿宋"/>
          <w:color w:val="222222"/>
          <w:kern w:val="0"/>
          <w:sz w:val="32"/>
          <w:szCs w:val="32"/>
        </w:rPr>
      </w:pPr>
      <w:r>
        <w:rPr>
          <w:rFonts w:hint="eastAsia" w:ascii="华文仿宋" w:hAnsi="华文仿宋" w:eastAsia="华文仿宋" w:cs="楷体"/>
          <w:bCs/>
          <w:kern w:val="0"/>
          <w:sz w:val="30"/>
          <w:szCs w:val="30"/>
          <w:lang w:val="zh-CN"/>
        </w:rPr>
        <w:t>防汛抗旱争取省市先进，做到大灾不死人，小灾不减产；水利建设抓好秋冬修，岁修等工作，坚决杜绝隐患工程度汛现象；把河长制工作和水资源保护工作联系起来抓，要保护好每一条溪沟河汊，力争全县水体保持在三类水的水平，部分水源地水体长期保持二类水平，农村饮水安全要巩固提质，确保饮水已安全的地区继续保持，有安全隐患的地区要排除安全隐患，保证全县农村人民都喝上安全的水。要保证水利局的工作在全县人民中的满意度达到95%。</w:t>
      </w:r>
    </w:p>
    <w:p>
      <w:pPr>
        <w:widowControl/>
        <w:numPr>
          <w:ilvl w:val="0"/>
          <w:numId w:val="2"/>
        </w:numPr>
        <w:spacing w:line="560" w:lineRule="exact"/>
        <w:ind w:firstLine="640"/>
        <w:rPr>
          <w:rFonts w:hint="eastAsia" w:ascii="Times New Roman" w:hAnsi="Times New Roman" w:eastAsia="黑体" w:cs="黑体"/>
          <w:color w:val="222222"/>
          <w:kern w:val="0"/>
          <w:sz w:val="32"/>
          <w:szCs w:val="32"/>
        </w:rPr>
      </w:pPr>
      <w:r>
        <w:rPr>
          <w:rFonts w:hint="eastAsia" w:ascii="Times New Roman" w:hAnsi="Times New Roman" w:eastAsia="黑体" w:cs="黑体"/>
          <w:color w:val="222222"/>
          <w:kern w:val="0"/>
          <w:sz w:val="32"/>
          <w:szCs w:val="32"/>
        </w:rPr>
        <w:t>部门整体支出绩效情况</w:t>
      </w:r>
    </w:p>
    <w:p>
      <w:pPr>
        <w:spacing w:line="600" w:lineRule="exact"/>
        <w:ind w:firstLine="588" w:firstLineChars="196"/>
        <w:rPr>
          <w:rFonts w:hint="eastAsia" w:ascii="仿宋" w:hAnsi="仿宋" w:eastAsia="仿宋" w:cs="仿宋"/>
          <w:b w:val="0"/>
          <w:bCs/>
          <w:color w:val="222222"/>
          <w:kern w:val="0"/>
          <w:sz w:val="32"/>
          <w:szCs w:val="32"/>
          <w:lang w:val="en-US" w:eastAsia="zh-CN"/>
        </w:rPr>
      </w:pPr>
      <w:r>
        <w:rPr>
          <w:rFonts w:hint="eastAsia" w:ascii="华文仿宋" w:hAnsi="华文仿宋" w:eastAsia="华文仿宋" w:cs="仿宋"/>
          <w:color w:val="000000"/>
          <w:kern w:val="0"/>
          <w:sz w:val="30"/>
          <w:szCs w:val="30"/>
          <w:highlight w:val="white"/>
          <w:lang w:val="zh-CN"/>
        </w:rPr>
        <w:t>按照</w:t>
      </w:r>
      <w:r>
        <w:rPr>
          <w:rFonts w:ascii="华文仿宋" w:hAnsi="华文仿宋" w:eastAsia="华文仿宋" w:cs="仿宋"/>
          <w:color w:val="000000"/>
          <w:kern w:val="0"/>
          <w:sz w:val="30"/>
          <w:szCs w:val="30"/>
          <w:highlight w:val="white"/>
          <w:lang w:val="zh-CN"/>
        </w:rPr>
        <w:t>“</w:t>
      </w:r>
      <w:r>
        <w:rPr>
          <w:rFonts w:hint="eastAsia" w:ascii="华文仿宋" w:hAnsi="华文仿宋" w:eastAsia="华文仿宋" w:cs="仿宋"/>
          <w:color w:val="000000"/>
          <w:kern w:val="0"/>
          <w:sz w:val="30"/>
          <w:szCs w:val="30"/>
          <w:highlight w:val="white"/>
          <w:lang w:val="zh-CN"/>
        </w:rPr>
        <w:t>五个确保</w:t>
      </w:r>
      <w:r>
        <w:rPr>
          <w:rFonts w:ascii="华文仿宋" w:hAnsi="华文仿宋" w:eastAsia="华文仿宋" w:cs="仿宋"/>
          <w:color w:val="000000"/>
          <w:kern w:val="0"/>
          <w:sz w:val="30"/>
          <w:szCs w:val="30"/>
          <w:highlight w:val="white"/>
          <w:lang w:val="zh-CN"/>
        </w:rPr>
        <w:t>”</w:t>
      </w:r>
      <w:r>
        <w:rPr>
          <w:rFonts w:hint="eastAsia" w:ascii="华文仿宋" w:hAnsi="华文仿宋" w:eastAsia="华文仿宋" w:cs="仿宋"/>
          <w:color w:val="000000"/>
          <w:kern w:val="0"/>
          <w:sz w:val="30"/>
          <w:szCs w:val="30"/>
          <w:highlight w:val="white"/>
          <w:lang w:val="zh-CN"/>
        </w:rPr>
        <w:t>总目标做到</w:t>
      </w:r>
      <w:r>
        <w:rPr>
          <w:rFonts w:ascii="华文仿宋" w:hAnsi="华文仿宋" w:eastAsia="华文仿宋" w:cs="仿宋"/>
          <w:color w:val="000000"/>
          <w:kern w:val="0"/>
          <w:sz w:val="30"/>
          <w:szCs w:val="30"/>
          <w:highlight w:val="white"/>
          <w:lang w:val="zh-CN"/>
        </w:rPr>
        <w:t>“</w:t>
      </w:r>
      <w:r>
        <w:rPr>
          <w:rFonts w:hint="eastAsia" w:ascii="华文仿宋" w:hAnsi="华文仿宋" w:eastAsia="华文仿宋" w:cs="仿宋"/>
          <w:color w:val="000000"/>
          <w:kern w:val="0"/>
          <w:sz w:val="30"/>
          <w:szCs w:val="30"/>
          <w:highlight w:val="white"/>
          <w:lang w:val="zh-CN"/>
        </w:rPr>
        <w:t>十到位</w:t>
      </w:r>
      <w:r>
        <w:rPr>
          <w:rFonts w:ascii="华文仿宋" w:hAnsi="华文仿宋" w:eastAsia="华文仿宋" w:cs="仿宋"/>
          <w:color w:val="000000"/>
          <w:kern w:val="0"/>
          <w:sz w:val="30"/>
          <w:szCs w:val="30"/>
          <w:highlight w:val="white"/>
          <w:lang w:val="zh-CN"/>
        </w:rPr>
        <w:t>”</w:t>
      </w:r>
      <w:r>
        <w:rPr>
          <w:rFonts w:hint="eastAsia" w:ascii="华文仿宋" w:hAnsi="华文仿宋" w:eastAsia="华文仿宋" w:cs="仿宋"/>
          <w:color w:val="000000"/>
          <w:kern w:val="0"/>
          <w:sz w:val="30"/>
          <w:szCs w:val="30"/>
          <w:highlight w:val="white"/>
          <w:lang w:val="zh-CN"/>
        </w:rPr>
        <w:t>：防大汛抗大灾认识到位、防汛抗灾知识培训到位、汛前安全检查到位、安全转移演练到位、防汛抗灾组织领导到位、防汛抗灾责任到位、各类预案制订到位、工程除险准备到位、防汛队伍组建到位、物资器材准备到位。特别是汛前安全检查，按照上级防指提出的</w:t>
      </w:r>
      <w:r>
        <w:rPr>
          <w:rFonts w:ascii="华文仿宋" w:hAnsi="华文仿宋" w:eastAsia="华文仿宋" w:cs="仿宋"/>
          <w:color w:val="000000"/>
          <w:kern w:val="0"/>
          <w:sz w:val="30"/>
          <w:szCs w:val="30"/>
          <w:highlight w:val="white"/>
          <w:lang w:val="zh-CN"/>
        </w:rPr>
        <w:t>“</w:t>
      </w:r>
      <w:r>
        <w:rPr>
          <w:rFonts w:hint="eastAsia" w:ascii="华文仿宋" w:hAnsi="华文仿宋" w:eastAsia="华文仿宋" w:cs="仿宋"/>
          <w:color w:val="000000"/>
          <w:kern w:val="0"/>
          <w:sz w:val="30"/>
          <w:szCs w:val="30"/>
          <w:highlight w:val="white"/>
          <w:lang w:val="zh-CN"/>
        </w:rPr>
        <w:t>六个百分百</w:t>
      </w:r>
      <w:r>
        <w:rPr>
          <w:rFonts w:ascii="华文仿宋" w:hAnsi="华文仿宋" w:eastAsia="华文仿宋" w:cs="仿宋"/>
          <w:color w:val="000000"/>
          <w:kern w:val="0"/>
          <w:sz w:val="30"/>
          <w:szCs w:val="30"/>
          <w:highlight w:val="white"/>
          <w:lang w:val="zh-CN"/>
        </w:rPr>
        <w:t>”</w:t>
      </w:r>
      <w:r>
        <w:rPr>
          <w:rFonts w:hint="eastAsia" w:ascii="华文仿宋" w:hAnsi="华文仿宋" w:eastAsia="华文仿宋" w:cs="仿宋"/>
          <w:color w:val="000000"/>
          <w:kern w:val="0"/>
          <w:sz w:val="30"/>
          <w:szCs w:val="30"/>
          <w:highlight w:val="white"/>
          <w:lang w:val="zh-CN"/>
        </w:rPr>
        <w:t>的要求落实到位。同时，加快在建工程建设进度。抢抓有利天气，在确保质量的前提下，加快施工进度，特别是抓好与防洪安全有关的水库除险加固、堤防工程等工程的建设进度，确保汛前全部完工。</w:t>
      </w:r>
      <w:r>
        <w:rPr>
          <w:rFonts w:hint="eastAsia" w:ascii="华文仿宋" w:hAnsi="华文仿宋" w:eastAsia="华文仿宋" w:cs="仿宋"/>
          <w:color w:val="000000"/>
          <w:kern w:val="0"/>
          <w:sz w:val="30"/>
          <w:szCs w:val="30"/>
          <w:lang w:val="zh-CN"/>
        </w:rPr>
        <w:t>针对20</w:t>
      </w:r>
      <w:r>
        <w:rPr>
          <w:rFonts w:hint="eastAsia" w:ascii="华文仿宋" w:hAnsi="华文仿宋" w:eastAsia="华文仿宋" w:cs="仿宋"/>
          <w:color w:val="000000"/>
          <w:kern w:val="0"/>
          <w:sz w:val="30"/>
          <w:szCs w:val="30"/>
          <w:lang w:val="en-US" w:eastAsia="zh-CN"/>
        </w:rPr>
        <w:t>20</w:t>
      </w:r>
      <w:r>
        <w:rPr>
          <w:rFonts w:hint="eastAsia" w:ascii="华文仿宋" w:hAnsi="华文仿宋" w:eastAsia="华文仿宋" w:cs="仿宋"/>
          <w:color w:val="000000"/>
          <w:kern w:val="0"/>
          <w:sz w:val="30"/>
          <w:szCs w:val="30"/>
          <w:lang w:val="zh-CN"/>
        </w:rPr>
        <w:t>年防汛抗旱中水利设施存在的问题，把解决水利基础设施薄弱环节、提升防汛减灾能力做为抓手，</w:t>
      </w:r>
      <w:r>
        <w:rPr>
          <w:rFonts w:hint="eastAsia" w:ascii="华文仿宋" w:hAnsi="华文仿宋" w:eastAsia="华文仿宋" w:cs="宋体"/>
          <w:kern w:val="0"/>
          <w:sz w:val="30"/>
          <w:szCs w:val="30"/>
          <w:lang w:val="zh-CN"/>
        </w:rPr>
        <w:t>实施堤防、机埠、灌溉渠道 、大坝枢纽、河道保洁、农村饮水管网、小型农田水利、山洪灾害预警系统等设施的维护和建设任务</w:t>
      </w:r>
      <w:r>
        <w:rPr>
          <w:rFonts w:hint="eastAsia" w:ascii="华文仿宋" w:hAnsi="华文仿宋" w:eastAsia="华文仿宋" w:cs="仿宋"/>
          <w:color w:val="000000"/>
          <w:kern w:val="0"/>
          <w:sz w:val="30"/>
          <w:szCs w:val="30"/>
          <w:lang w:val="zh-CN"/>
        </w:rPr>
        <w:t>。</w:t>
      </w:r>
      <w:r>
        <w:rPr>
          <w:rFonts w:hint="eastAsia" w:ascii="华文仿宋" w:hAnsi="华文仿宋" w:eastAsia="华文仿宋" w:cs="仿宋"/>
          <w:kern w:val="0"/>
          <w:sz w:val="30"/>
          <w:szCs w:val="30"/>
          <w:lang w:val="zh-CN"/>
        </w:rPr>
        <w:t>继续实行最严格的水资源管理，加大依法管理水资源的工作力度。搞好取水用水单位登记，规范取水许可程序，严格执行审批制度。规范规费收取，积极协调做好水资源费调标后的收取工作，做到水政规费应收尽收。进一步加大水事案件查处力度，保持高压态势，重点加强河道管理和水事案件查处工作，严肃查办几起有影响力的案件，让水事违法现象没有反弹的机会。全面掌握河湖库情况，每条河流的负面清单，分河流、分河段建立河湖库档案，实行河湖动态管理，按权属编制好全县</w:t>
      </w:r>
      <w:r>
        <w:rPr>
          <w:rFonts w:ascii="华文仿宋" w:hAnsi="华文仿宋" w:eastAsia="华文仿宋" w:cs="仿宋"/>
          <w:kern w:val="0"/>
          <w:sz w:val="30"/>
          <w:szCs w:val="30"/>
          <w:lang w:val="zh-CN"/>
        </w:rPr>
        <w:t>1</w:t>
      </w:r>
      <w:r>
        <w:rPr>
          <w:rFonts w:hint="eastAsia" w:ascii="华文仿宋" w:hAnsi="华文仿宋" w:eastAsia="华文仿宋" w:cs="仿宋"/>
          <w:kern w:val="0"/>
          <w:sz w:val="30"/>
          <w:szCs w:val="30"/>
          <w:lang w:val="en-US" w:eastAsia="zh-CN"/>
        </w:rPr>
        <w:t>24</w:t>
      </w:r>
      <w:r>
        <w:rPr>
          <w:rFonts w:hint="eastAsia" w:ascii="华文仿宋" w:hAnsi="华文仿宋" w:eastAsia="华文仿宋" w:cs="仿宋"/>
          <w:kern w:val="0"/>
          <w:sz w:val="30"/>
          <w:szCs w:val="30"/>
          <w:lang w:val="zh-CN"/>
        </w:rPr>
        <w:t>条河流的综合治理方案和三年行动方案。</w:t>
      </w:r>
      <w:r>
        <w:rPr>
          <w:rFonts w:hint="eastAsia" w:ascii="华文仿宋" w:hAnsi="华文仿宋" w:eastAsia="华文仿宋" w:cs="楷体"/>
          <w:kern w:val="0"/>
          <w:sz w:val="30"/>
          <w:szCs w:val="30"/>
          <w:lang w:val="zh-CN"/>
        </w:rPr>
        <w:t>二是积极开展河长巡河。</w:t>
      </w:r>
      <w:r>
        <w:rPr>
          <w:rFonts w:hint="eastAsia" w:ascii="华文仿宋" w:hAnsi="华文仿宋" w:eastAsia="华文仿宋" w:cs="仿宋"/>
          <w:kern w:val="0"/>
          <w:sz w:val="30"/>
          <w:szCs w:val="30"/>
          <w:lang w:val="zh-CN"/>
        </w:rPr>
        <w:t>县、乡、村三级河长是所辖河流保护管理的直接责任人，是河流治理的责任主体，县河长办将对各级河长巡河进行督察，定期通报河长巡河情况，跟踪督促巡河发现的重点难点问题地落实。</w:t>
      </w:r>
      <w:r>
        <w:rPr>
          <w:rFonts w:hint="eastAsia" w:ascii="华文仿宋" w:hAnsi="华文仿宋" w:eastAsia="华文仿宋" w:cs="楷体"/>
          <w:kern w:val="0"/>
          <w:sz w:val="30"/>
          <w:szCs w:val="30"/>
          <w:lang w:val="zh-CN"/>
        </w:rPr>
        <w:t>三是开展水污染防治和河湖库整治。</w:t>
      </w:r>
      <w:r>
        <w:rPr>
          <w:rFonts w:hint="eastAsia" w:ascii="华文仿宋" w:hAnsi="华文仿宋" w:eastAsia="华文仿宋" w:cs="仿宋"/>
          <w:kern w:val="0"/>
          <w:sz w:val="30"/>
          <w:szCs w:val="30"/>
          <w:lang w:val="zh-CN"/>
        </w:rPr>
        <w:t>突出抓好源头治水，加大巡查力度，重点做好工业排污、生活污水、畜禽养殖、面源污染、采石场等重点污染源的排查工作。扎实推进水污染防治、污水处理厂提标等实质性工作，确保流域水质稳定达标。</w:t>
      </w:r>
      <w:r>
        <w:rPr>
          <w:rFonts w:hint="eastAsia" w:ascii="华文仿宋" w:hAnsi="华文仿宋" w:eastAsia="华文仿宋" w:cs="楷体"/>
          <w:kern w:val="0"/>
          <w:sz w:val="30"/>
          <w:szCs w:val="30"/>
          <w:lang w:val="zh-CN"/>
        </w:rPr>
        <w:t>全面提升农村饮水扩容提质工程。</w:t>
      </w:r>
      <w:r>
        <w:rPr>
          <w:rFonts w:hint="eastAsia" w:ascii="华文仿宋" w:hAnsi="华文仿宋" w:eastAsia="华文仿宋" w:cs="仿宋"/>
          <w:kern w:val="0"/>
          <w:sz w:val="30"/>
          <w:szCs w:val="30"/>
          <w:lang w:val="zh-CN"/>
        </w:rPr>
        <w:t>严格落实主体责任，主动作为，加大投入力度，协调矛盾，加快推进人饮工程提质。</w:t>
      </w:r>
    </w:p>
    <w:p>
      <w:pPr>
        <w:widowControl/>
        <w:numPr>
          <w:ilvl w:val="0"/>
          <w:numId w:val="3"/>
        </w:numPr>
        <w:spacing w:line="560" w:lineRule="exact"/>
        <w:ind w:firstLine="640" w:firstLineChars="200"/>
        <w:rPr>
          <w:rFonts w:hint="eastAsia" w:ascii="仿宋" w:hAnsi="仿宋" w:eastAsia="仿宋" w:cs="仿宋"/>
          <w:color w:val="000000"/>
          <w:sz w:val="32"/>
          <w:szCs w:val="32"/>
          <w:lang w:val="en-US" w:eastAsia="zh-CN"/>
        </w:rPr>
      </w:pPr>
      <w:r>
        <w:rPr>
          <w:rFonts w:hint="eastAsia" w:ascii="Times New Roman" w:hAnsi="Times New Roman" w:eastAsia="黑体" w:cs="黑体"/>
          <w:color w:val="000000"/>
          <w:sz w:val="32"/>
          <w:szCs w:val="32"/>
        </w:rPr>
        <w:t>有关建议</w:t>
      </w:r>
      <w:r>
        <w:rPr>
          <w:rFonts w:hint="eastAsia" w:ascii="仿宋" w:hAnsi="仿宋" w:eastAsia="仿宋" w:cs="仿宋"/>
          <w:color w:val="000000"/>
          <w:sz w:val="32"/>
          <w:szCs w:val="32"/>
          <w:lang w:val="en-US" w:eastAsia="zh-CN"/>
        </w:rPr>
        <w:t xml:space="preserve"> </w:t>
      </w:r>
    </w:p>
    <w:p>
      <w:pPr>
        <w:widowControl/>
        <w:numPr>
          <w:ilvl w:val="0"/>
          <w:numId w:val="0"/>
        </w:numPr>
        <w:spacing w:line="560" w:lineRule="exac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水利局下属差额拨款单位财政资金保障严重不足，不利于基层单位的稳定，建议增加财政保障力度。</w:t>
      </w:r>
    </w:p>
    <w:p>
      <w:pPr>
        <w:widowControl/>
        <w:spacing w:line="600" w:lineRule="exact"/>
        <w:jc w:val="center"/>
        <w:rPr>
          <w:rFonts w:hint="eastAsia" w:ascii="宋体" w:hAnsi="宋体" w:eastAsia="方正小标宋_GBK" w:cs="方正小标宋_GBK"/>
          <w:b/>
          <w:kern w:val="0"/>
          <w:sz w:val="44"/>
          <w:szCs w:val="44"/>
          <w:lang w:val="en-US" w:eastAsia="zh-CN"/>
        </w:rPr>
      </w:pPr>
    </w:p>
    <w:p>
      <w:pPr>
        <w:widowControl/>
        <w:spacing w:line="600" w:lineRule="exact"/>
        <w:jc w:val="center"/>
        <w:rPr>
          <w:rFonts w:ascii="Times New Roman" w:hAnsi="Times New Roman" w:eastAsia="方正小标宋_GBK"/>
          <w:kern w:val="0"/>
          <w:sz w:val="36"/>
          <w:szCs w:val="36"/>
        </w:rPr>
      </w:pPr>
      <w:r>
        <w:rPr>
          <w:rFonts w:hint="eastAsia" w:ascii="Times New Roman" w:hAnsi="Times New Roman" w:eastAsia="方正小标宋_GBK" w:cs="方正小标宋_GBK"/>
          <w:kern w:val="0"/>
          <w:sz w:val="36"/>
          <w:szCs w:val="36"/>
          <w:lang w:eastAsia="zh-CN"/>
        </w:rPr>
        <w:t>水利局</w:t>
      </w:r>
      <w:r>
        <w:rPr>
          <w:rFonts w:hint="eastAsia" w:ascii="Times New Roman" w:hAnsi="Times New Roman" w:eastAsia="方正小标宋_GBK" w:cs="方正小标宋_GBK"/>
          <w:kern w:val="0"/>
          <w:sz w:val="36"/>
          <w:szCs w:val="36"/>
        </w:rPr>
        <w:t>部门整体支出绩效评价指标表</w:t>
      </w:r>
    </w:p>
    <w:tbl>
      <w:tblPr>
        <w:tblStyle w:val="12"/>
        <w:tblW w:w="107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8"/>
        <w:gridCol w:w="516"/>
        <w:gridCol w:w="659"/>
        <w:gridCol w:w="516"/>
        <w:gridCol w:w="1074"/>
        <w:gridCol w:w="516"/>
        <w:gridCol w:w="2878"/>
        <w:gridCol w:w="3312"/>
        <w:gridCol w:w="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一级指标</w:t>
            </w: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分值</w:t>
            </w:r>
          </w:p>
        </w:tc>
        <w:tc>
          <w:tcPr>
            <w:tcW w:w="659"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二级指标</w:t>
            </w: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分值</w:t>
            </w:r>
          </w:p>
        </w:tc>
        <w:tc>
          <w:tcPr>
            <w:tcW w:w="1074"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三级</w:t>
            </w:r>
          </w:p>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指标</w:t>
            </w: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分值</w:t>
            </w:r>
          </w:p>
        </w:tc>
        <w:tc>
          <w:tcPr>
            <w:tcW w:w="2878"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评价标准</w:t>
            </w:r>
          </w:p>
        </w:tc>
        <w:tc>
          <w:tcPr>
            <w:tcW w:w="3312"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指标说明</w:t>
            </w:r>
          </w:p>
        </w:tc>
        <w:tc>
          <w:tcPr>
            <w:tcW w:w="622"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678" w:type="dxa"/>
            <w:vMerge w:val="restart"/>
            <w:tcBorders>
              <w:top w:val="nil"/>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13</w:t>
            </w:r>
          </w:p>
        </w:tc>
        <w:tc>
          <w:tcPr>
            <w:tcW w:w="659" w:type="dxa"/>
            <w:vMerge w:val="restart"/>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13</w:t>
            </w: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在职人员控制率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nil"/>
              <w:right w:val="nil"/>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以</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为标准。在职人员控制率</w:t>
            </w:r>
            <w:r>
              <w:rPr>
                <w:rFonts w:hint="eastAsia" w:ascii="Times New Roman" w:hAnsi="宋体" w:cs="宋体"/>
                <w:kern w:val="0"/>
                <w:sz w:val="20"/>
                <w:szCs w:val="20"/>
              </w:rPr>
              <w:t>≦</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分；每超过一个百分点扣</w:t>
            </w:r>
            <w:r>
              <w:rPr>
                <w:rFonts w:ascii="Times New Roman" w:hAnsi="Times New Roman" w:eastAsia="仿宋_GB2312" w:cs="Times New Roman"/>
                <w:kern w:val="0"/>
                <w:sz w:val="20"/>
                <w:szCs w:val="20"/>
              </w:rPr>
              <w:t>0.5</w:t>
            </w:r>
            <w:r>
              <w:rPr>
                <w:rFonts w:hint="eastAsia" w:ascii="Times New Roman" w:hAnsi="Times New Roman" w:eastAsia="仿宋_GB2312" w:cs="仿宋_GB2312"/>
                <w:kern w:val="0"/>
                <w:sz w:val="20"/>
                <w:szCs w:val="20"/>
              </w:rPr>
              <w:t>分，扣完为止。</w:t>
            </w:r>
          </w:p>
        </w:tc>
        <w:tc>
          <w:tcPr>
            <w:tcW w:w="3312" w:type="dxa"/>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在职人员控制率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（在职人员数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编制数）×</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，在职人员数：部门（单位）实际在职人数，以财政局确定的部门决算编制口径为准。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编制数：机构编制部门核定批复的部门（单位）的人员编制数。</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“三公经费”变动率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“三公经费”变动率</w:t>
            </w:r>
            <w:r>
              <w:rPr>
                <w:rFonts w:hint="eastAsia" w:ascii="Times New Roman" w:hAnsi="宋体" w:cs="宋体"/>
                <w:kern w:val="0"/>
                <w:sz w:val="20"/>
                <w:szCs w:val="20"/>
              </w:rPr>
              <w:t>≦</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8</w:t>
            </w:r>
            <w:r>
              <w:rPr>
                <w:rFonts w:hint="eastAsia" w:ascii="Times New Roman" w:hAnsi="Times New Roman" w:eastAsia="仿宋_GB2312" w:cs="仿宋_GB2312"/>
                <w:kern w:val="0"/>
                <w:sz w:val="20"/>
                <w:szCs w:val="20"/>
              </w:rPr>
              <w:t>分；“三公经费”＞</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，每超过一个百分点扣</w:t>
            </w:r>
            <w:r>
              <w:rPr>
                <w:rFonts w:ascii="Times New Roman" w:hAnsi="Times New Roman" w:eastAsia="仿宋_GB2312" w:cs="Times New Roman"/>
                <w:kern w:val="0"/>
                <w:sz w:val="20"/>
                <w:szCs w:val="20"/>
              </w:rPr>
              <w:t>0.8</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“三公经费”变动率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（本年度“三公经费”预算数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上年度“三公经费”预算数）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上年度“三公经费”预算数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w:t>
            </w:r>
            <w:r>
              <w:rPr>
                <w:rFonts w:ascii="Times New Roman" w:hAnsi="Times New Roman" w:eastAsia="仿宋_GB2312" w:cs="Times New Roman"/>
                <w:kern w:val="0"/>
                <w:sz w:val="20"/>
                <w:szCs w:val="20"/>
              </w:rPr>
              <w:t>100%</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过</w:t>
            </w:r>
            <w:r>
              <w:rPr>
                <w:rFonts w:ascii="Times New Roman" w:hAnsi="Times New Roman" w:eastAsia="仿宋_GB2312" w:cs="Times New Roman"/>
                <w:kern w:val="0"/>
                <w:sz w:val="20"/>
                <w:szCs w:val="20"/>
              </w:rPr>
              <w:t xml:space="preserve">                                                                                                                                       </w:t>
            </w:r>
            <w:r>
              <w:rPr>
                <w:rFonts w:hint="eastAsia" w:ascii="Times New Roman" w:hAnsi="Times New Roman" w:eastAsia="仿宋_GB2312" w:cs="仿宋_GB2312"/>
                <w:kern w:val="0"/>
                <w:sz w:val="20"/>
                <w:szCs w:val="20"/>
              </w:rPr>
              <w:t>程</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61</w:t>
            </w: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20</w:t>
            </w: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预算完成率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计满分，每低于</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预算完成率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（上年结转</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年末结余）</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（上年结转</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600" w:lineRule="exact"/>
              <w:jc w:val="center"/>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hint="eastAsia" w:ascii="Times New Roman" w:hAnsi="Times New Roman" w:eastAsia="仿宋_GB2312"/>
                <w:kern w:val="0"/>
                <w:sz w:val="20"/>
                <w:szCs w:val="20"/>
                <w:lang w:eastAsia="zh-CN"/>
              </w:rPr>
            </w:pPr>
            <w:r>
              <w:rPr>
                <w:rFonts w:hint="eastAsia" w:ascii="Times New Roman" w:hAnsi="Times New Roman" w:eastAsia="仿宋_GB2312"/>
                <w:kern w:val="0"/>
                <w:sz w:val="20"/>
                <w:szCs w:val="20"/>
                <w:lang w:eastAsia="zh-CN"/>
              </w:rPr>
              <w:t>5</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预算控制率</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0-10%</w:t>
            </w:r>
            <w:r>
              <w:rPr>
                <w:rFonts w:hint="eastAsia" w:ascii="Times New Roman" w:hAnsi="Times New Roman" w:eastAsia="仿宋_GB2312" w:cs="仿宋_GB2312"/>
                <w:kern w:val="0"/>
                <w:sz w:val="20"/>
                <w:szCs w:val="20"/>
              </w:rPr>
              <w:t>（含），计</w:t>
            </w:r>
            <w:r>
              <w:rPr>
                <w:rFonts w:ascii="Times New Roman" w:hAnsi="Times New Roman" w:eastAsia="仿宋_GB2312" w:cs="Times New Roman"/>
                <w:kern w:val="0"/>
                <w:sz w:val="20"/>
                <w:szCs w:val="20"/>
              </w:rPr>
              <w:t>4</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10-20%</w:t>
            </w:r>
            <w:r>
              <w:rPr>
                <w:rFonts w:hint="eastAsia" w:ascii="Times New Roman" w:hAnsi="Times New Roman" w:eastAsia="仿宋_GB2312" w:cs="仿宋_GB2312"/>
                <w:kern w:val="0"/>
                <w:sz w:val="20"/>
                <w:szCs w:val="20"/>
              </w:rPr>
              <w:t>（含），计</w:t>
            </w:r>
            <w:r>
              <w:rPr>
                <w:rFonts w:ascii="Times New Roman" w:hAnsi="Times New Roman" w:eastAsia="仿宋_GB2312" w:cs="Times New Roman"/>
                <w:kern w:val="0"/>
                <w:sz w:val="20"/>
                <w:szCs w:val="20"/>
              </w:rPr>
              <w:t>3</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20-30%</w:t>
            </w:r>
            <w:r>
              <w:rPr>
                <w:rFonts w:hint="eastAsia" w:ascii="Times New Roman" w:hAnsi="Times New Roman" w:eastAsia="仿宋_GB2312" w:cs="仿宋_GB2312"/>
                <w:kern w:val="0"/>
                <w:sz w:val="20"/>
                <w:szCs w:val="20"/>
              </w:rPr>
              <w:t>（含），计</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分；大于</w:t>
            </w:r>
            <w:r>
              <w:rPr>
                <w:rFonts w:ascii="Times New Roman" w:hAnsi="Times New Roman" w:eastAsia="仿宋_GB2312" w:cs="Times New Roman"/>
                <w:kern w:val="0"/>
                <w:sz w:val="20"/>
                <w:szCs w:val="20"/>
              </w:rPr>
              <w:t>30%</w:t>
            </w:r>
            <w:r>
              <w:rPr>
                <w:rFonts w:hint="eastAsia" w:ascii="Times New Roman" w:hAnsi="Times New Roman" w:eastAsia="仿宋_GB2312" w:cs="仿宋_GB2312"/>
                <w:kern w:val="0"/>
                <w:sz w:val="20"/>
                <w:szCs w:val="20"/>
              </w:rPr>
              <w:t>不得分。</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（本年追加预算</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年初预算）×</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新建楼堂馆所面积控制率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分，扣完为止。没有楼堂馆所项目的部门按满分计算。</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楼堂馆所面积控制率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实际建设面积</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批准建设面积×</w:t>
            </w:r>
            <w:r>
              <w:rPr>
                <w:rFonts w:ascii="Times New Roman" w:hAnsi="Times New Roman" w:eastAsia="仿宋_GB2312" w:cs="Times New Roman"/>
                <w:kern w:val="0"/>
                <w:sz w:val="20"/>
                <w:szCs w:val="20"/>
              </w:rPr>
              <w:t xml:space="preserve">100% </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该指标以</w:t>
            </w:r>
            <w:r>
              <w:rPr>
                <w:rFonts w:ascii="Times New Roman" w:hAnsi="Times New Roman" w:eastAsia="仿宋_GB2312" w:cs="Times New Roman"/>
                <w:kern w:val="0"/>
                <w:sz w:val="20"/>
                <w:szCs w:val="20"/>
              </w:rPr>
              <w:t>2015</w:t>
            </w:r>
            <w:r>
              <w:rPr>
                <w:rFonts w:hint="eastAsia" w:ascii="Times New Roman" w:hAnsi="Times New Roman" w:eastAsia="仿宋_GB2312" w:cs="仿宋_GB2312"/>
                <w:kern w:val="0"/>
                <w:sz w:val="20"/>
                <w:szCs w:val="20"/>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新建楼堂馆所投资概算控制率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楼堂馆所投资预算控制率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实际投资金额</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批准投资金额×</w:t>
            </w:r>
            <w:r>
              <w:rPr>
                <w:rFonts w:ascii="Times New Roman" w:hAnsi="Times New Roman" w:eastAsia="仿宋_GB2312" w:cs="Times New Roman"/>
                <w:kern w:val="0"/>
                <w:sz w:val="20"/>
                <w:szCs w:val="20"/>
              </w:rPr>
              <w:t xml:space="preserve">100% </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该指标以</w:t>
            </w:r>
            <w:r>
              <w:rPr>
                <w:rFonts w:ascii="Times New Roman" w:hAnsi="Times New Roman" w:eastAsia="仿宋_GB2312" w:cs="Times New Roman"/>
                <w:kern w:val="0"/>
                <w:sz w:val="20"/>
                <w:szCs w:val="20"/>
              </w:rPr>
              <w:t>2015</w:t>
            </w:r>
            <w:r>
              <w:rPr>
                <w:rFonts w:hint="eastAsia" w:ascii="Times New Roman" w:hAnsi="Times New Roman" w:eastAsia="仿宋_GB2312" w:cs="仿宋_GB2312"/>
                <w:kern w:val="0"/>
                <w:sz w:val="20"/>
                <w:szCs w:val="20"/>
              </w:rPr>
              <w:t>年完工的新建楼堂馆所为评价内容。</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2"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41</w:t>
            </w: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公用经费控制率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公用经费控制率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（实际支出公用经费总额</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预算安排公用经费总额）×</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公用经费支出是指部门基本支出中的一般商品和服务支出。</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eastAsia="zh-CN"/>
              </w:rPr>
            </w:pPr>
            <w:r>
              <w:rPr>
                <w:rFonts w:hint="eastAsia" w:ascii="Times New Roman" w:hAnsi="宋体" w:cs="宋体"/>
                <w:kern w:val="0"/>
                <w:sz w:val="24"/>
                <w:szCs w:val="24"/>
              </w:rPr>
              <w:t>　</w:t>
            </w:r>
            <w:r>
              <w:rPr>
                <w:rFonts w:hint="eastAsia" w:ascii="Times New Roman" w:hAnsi="宋体" w:cs="宋体"/>
                <w:kern w:val="0"/>
                <w:sz w:val="24"/>
                <w:szCs w:val="24"/>
                <w:lang w:val="en-US" w:eastAsia="zh-CN"/>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“三公经费”控制率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以下（含）计满分，每超出</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“三公经费”控制率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（“三公经费”实际支出数</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“三公经费”预算安排数）×</w:t>
            </w: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hint="eastAsia" w:ascii="Times New Roman" w:hAnsi="宋体" w:cs="宋体"/>
                <w:kern w:val="0"/>
                <w:sz w:val="24"/>
                <w:szCs w:val="24"/>
                <w:lang w:val="en-US" w:eastAsia="zh-CN"/>
              </w:rPr>
              <w:t xml:space="preserve"> 8</w:t>
            </w:r>
            <w:r>
              <w:rPr>
                <w:rFonts w:hint="eastAsia" w:ascii="Times New Roman" w:hAnsi="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政府采购执行率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r>
              <w:rPr>
                <w:rFonts w:hint="eastAsia" w:ascii="Times New Roman" w:hAnsi="Times New Roman" w:eastAsia="仿宋_GB2312" w:cs="仿宋_GB2312"/>
                <w:kern w:val="0"/>
                <w:sz w:val="20"/>
                <w:szCs w:val="20"/>
              </w:rPr>
              <w:t>计满分，每超过（降低）</w:t>
            </w:r>
            <w:r>
              <w:rPr>
                <w:rFonts w:ascii="Times New Roman" w:hAnsi="Times New Roman" w:eastAsia="仿宋_GB2312" w:cs="Times New Roman"/>
                <w:kern w:val="0"/>
                <w:sz w:val="20"/>
                <w:szCs w:val="20"/>
              </w:rPr>
              <w:t>5%</w:t>
            </w:r>
            <w:r>
              <w:rPr>
                <w:rFonts w:hint="eastAsia" w:ascii="Times New Roman" w:hAnsi="Times New Roman" w:eastAsia="仿宋_GB2312" w:cs="仿宋_GB2312"/>
                <w:kern w:val="0"/>
                <w:sz w:val="20"/>
                <w:szCs w:val="20"/>
              </w:rPr>
              <w:t>扣</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政府采购执行率</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（实际政府采购金额</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政府采购预算数）×</w:t>
            </w:r>
            <w:r>
              <w:rPr>
                <w:rFonts w:ascii="Times New Roman" w:hAnsi="Times New Roman" w:eastAsia="仿宋_GB2312" w:cs="Times New Roman"/>
                <w:kern w:val="0"/>
                <w:sz w:val="20"/>
                <w:szCs w:val="20"/>
              </w:rPr>
              <w:t>100%</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rPr>
              <w:t>　</w:t>
            </w:r>
            <w:r>
              <w:rPr>
                <w:rFonts w:hint="eastAsia" w:ascii="Times New Roman" w:hAnsi="宋体" w:cs="宋体"/>
                <w:kern w:val="0"/>
                <w:sz w:val="24"/>
                <w:szCs w:val="24"/>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8" w:type="dxa"/>
            <w:vMerge w:val="restart"/>
            <w:tcBorders>
              <w:top w:val="single" w:color="auto" w:sz="4" w:space="0"/>
              <w:left w:val="single" w:color="auto" w:sz="4" w:space="0"/>
              <w:bottom w:val="single" w:color="000000" w:sz="4" w:space="0"/>
              <w:right w:val="single" w:color="auto" w:sz="4" w:space="0"/>
            </w:tcBorders>
            <w:vAlign w:val="center"/>
          </w:tcPr>
          <w:p>
            <w:pPr>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过</w:t>
            </w:r>
            <w:r>
              <w:rPr>
                <w:rFonts w:ascii="Times New Roman" w:hAnsi="Times New Roman" w:eastAsia="仿宋_GB2312" w:cs="Times New Roman"/>
                <w:kern w:val="0"/>
                <w:sz w:val="20"/>
                <w:szCs w:val="20"/>
              </w:rPr>
              <w:t xml:space="preserve">                                                                                                                                       </w:t>
            </w:r>
            <w:r>
              <w:rPr>
                <w:rFonts w:hint="eastAsia" w:ascii="Times New Roman" w:hAnsi="Times New Roman" w:eastAsia="仿宋_GB2312" w:cs="仿宋_GB2312"/>
                <w:kern w:val="0"/>
                <w:sz w:val="20"/>
                <w:szCs w:val="20"/>
              </w:rPr>
              <w:t>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61</w:t>
            </w:r>
          </w:p>
        </w:tc>
        <w:tc>
          <w:tcPr>
            <w:tcW w:w="659" w:type="dxa"/>
            <w:vMerge w:val="restart"/>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管理制度健全性</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①有内部财务管理制度、会计核算制度等管理制度，</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②有本部门厉行节约制度</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③相关管理制度合法、合规、完整，</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分；④相关管理制度得到有效执行，</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eastAsia="zh-CN"/>
              </w:rPr>
            </w:pPr>
            <w:r>
              <w:rPr>
                <w:rFonts w:hint="eastAsia" w:ascii="Times New Roman" w:hAnsi="宋体" w:cs="宋体"/>
                <w:kern w:val="0"/>
                <w:sz w:val="24"/>
                <w:szCs w:val="24"/>
              </w:rPr>
              <w:t>　</w:t>
            </w:r>
            <w:r>
              <w:rPr>
                <w:rFonts w:hint="eastAsia" w:ascii="Times New Roman" w:hAnsi="宋体" w:cs="宋体"/>
                <w:kern w:val="0"/>
                <w:sz w:val="24"/>
                <w:szCs w:val="24"/>
                <w:lang w:val="en-US" w:eastAsia="zh-CN"/>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资金使用合规性</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以上情况每出现一例不符合要求的扣</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分，扣完为止。</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eastAsia="zh-CN"/>
              </w:rPr>
            </w:pPr>
            <w:r>
              <w:rPr>
                <w:rFonts w:hint="eastAsia" w:ascii="Times New Roman" w:hAnsi="宋体" w:cs="宋体"/>
                <w:kern w:val="0"/>
                <w:sz w:val="24"/>
                <w:szCs w:val="24"/>
              </w:rPr>
              <w:t>　</w:t>
            </w:r>
            <w:r>
              <w:rPr>
                <w:rFonts w:hint="eastAsia" w:ascii="Times New Roman" w:hAnsi="宋体" w:cs="宋体"/>
                <w:kern w:val="0"/>
                <w:sz w:val="24"/>
                <w:szCs w:val="24"/>
                <w:lang w:val="en-US" w:eastAsia="zh-CN"/>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预决算信息公开性</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5</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①按规定内容公开预决算信息，</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分；②按规定时限公开预决算信息，</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分；③基础数据信息和会计信息资料真实，</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分；④基础数据信息和会计信息资料完整，</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分；⑤基础数据信息和汇集信息资料准确，</w:t>
            </w:r>
            <w:r>
              <w:rPr>
                <w:rFonts w:ascii="Times New Roman" w:hAnsi="Times New Roman" w:eastAsia="仿宋_GB2312" w:cs="Times New Roman"/>
                <w:kern w:val="0"/>
                <w:sz w:val="20"/>
                <w:szCs w:val="20"/>
              </w:rPr>
              <w:t>1</w:t>
            </w:r>
            <w:r>
              <w:rPr>
                <w:rFonts w:hint="eastAsia" w:ascii="Times New Roman" w:hAnsi="Times New Roman" w:eastAsia="仿宋_GB2312" w:cs="仿宋_GB2312"/>
                <w:kern w:val="0"/>
                <w:sz w:val="20"/>
                <w:szCs w:val="20"/>
              </w:rPr>
              <w:t>分。</w:t>
            </w:r>
            <w:r>
              <w:rPr>
                <w:rFonts w:ascii="Times New Roman" w:hAnsi="Times New Roman" w:eastAsia="仿宋_GB2312" w:cs="Times New Roman"/>
                <w:kern w:val="0"/>
                <w:sz w:val="20"/>
                <w:szCs w:val="20"/>
              </w:rPr>
              <w:t xml:space="preserve">  </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预决算信息是指与部门预算、执行、决算、监督、绩效等管理相关的信息。</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eastAsia="zh-CN"/>
              </w:rPr>
            </w:pPr>
            <w:r>
              <w:rPr>
                <w:rFonts w:hint="eastAsia" w:ascii="Times New Roman" w:hAnsi="宋体" w:cs="宋体"/>
                <w:kern w:val="0"/>
                <w:sz w:val="24"/>
                <w:szCs w:val="24"/>
              </w:rPr>
              <w:t>　</w:t>
            </w:r>
            <w:r>
              <w:rPr>
                <w:rFonts w:hint="eastAsia" w:ascii="Times New Roman" w:hAnsi="宋体" w:cs="宋体"/>
                <w:kern w:val="0"/>
                <w:sz w:val="24"/>
                <w:szCs w:val="24"/>
                <w:lang w:val="en-US" w:eastAsia="zh-CN"/>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8"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26</w:t>
            </w:r>
          </w:p>
        </w:tc>
        <w:tc>
          <w:tcPr>
            <w:tcW w:w="659"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职责履行</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1074" w:type="dxa"/>
            <w:tcBorders>
              <w:top w:val="nil"/>
              <w:left w:val="nil"/>
              <w:bottom w:val="nil"/>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重点工作实际完成率</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8</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cs="Times New Roman"/>
                <w:kern w:val="0"/>
                <w:sz w:val="20"/>
                <w:szCs w:val="20"/>
              </w:rPr>
            </w:pPr>
            <w:r>
              <w:rPr>
                <w:rFonts w:hint="eastAsia" w:ascii="Times New Roman" w:hAnsi="Times New Roman" w:eastAsia="仿宋_GB2312" w:cs="仿宋_GB2312"/>
                <w:kern w:val="0"/>
                <w:sz w:val="20"/>
                <w:szCs w:val="20"/>
              </w:rPr>
              <w:t>根据绩效办</w:t>
            </w:r>
            <w:r>
              <w:rPr>
                <w:rFonts w:ascii="Times New Roman" w:hAnsi="Times New Roman" w:eastAsia="仿宋_GB2312" w:cs="Times New Roman"/>
                <w:kern w:val="0"/>
                <w:sz w:val="20"/>
                <w:szCs w:val="20"/>
              </w:rPr>
              <w:t>2015</w:t>
            </w:r>
            <w:r>
              <w:rPr>
                <w:rFonts w:hint="eastAsia" w:ascii="Times New Roman" w:hAnsi="Times New Roman" w:eastAsia="仿宋_GB2312" w:cs="仿宋_GB2312"/>
                <w:kern w:val="0"/>
                <w:sz w:val="20"/>
                <w:szCs w:val="20"/>
              </w:rPr>
              <w:t>年对各部门为民办实事和部门重点工程与重点工作考核分数折算。</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该项得分</w:t>
            </w:r>
            <w:r>
              <w:rPr>
                <w:rFonts w:ascii="Times New Roman" w:hAnsi="Times New Roman" w:eastAsia="仿宋_GB2312" w:cs="Times New Roman"/>
                <w:kern w:val="0"/>
                <w:sz w:val="20"/>
                <w:szCs w:val="20"/>
              </w:rPr>
              <w:t>=</w:t>
            </w:r>
            <w:r>
              <w:rPr>
                <w:rFonts w:hint="eastAsia" w:ascii="Times New Roman" w:hAnsi="Times New Roman" w:eastAsia="仿宋_GB2312" w:cs="仿宋_GB2312"/>
                <w:kern w:val="0"/>
                <w:sz w:val="20"/>
                <w:szCs w:val="20"/>
              </w:rPr>
              <w:t>（绩效办对应部分考核得分</w:t>
            </w:r>
            <w:r>
              <w:rPr>
                <w:rFonts w:ascii="Times New Roman" w:hAnsi="Times New Roman" w:eastAsia="仿宋_GB2312" w:cs="Times New Roman"/>
                <w:kern w:val="0"/>
                <w:sz w:val="20"/>
                <w:szCs w:val="20"/>
              </w:rPr>
              <w:t>/500</w:t>
            </w:r>
            <w:r>
              <w:rPr>
                <w:rFonts w:hint="eastAsia" w:ascii="Times New Roman" w:hAnsi="Times New Roman" w:eastAsia="仿宋_GB2312" w:cs="仿宋_GB2312"/>
                <w:kern w:val="0"/>
                <w:sz w:val="20"/>
                <w:szCs w:val="20"/>
              </w:rPr>
              <w:t>）</w:t>
            </w:r>
            <w:r>
              <w:rPr>
                <w:rFonts w:ascii="Times New Roman" w:hAnsi="Times New Roman" w:eastAsia="仿宋_GB2312" w:cs="Times New Roman"/>
                <w:kern w:val="0"/>
                <w:sz w:val="20"/>
                <w:szCs w:val="20"/>
              </w:rPr>
              <w:t>*8</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　</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履职</w:t>
            </w:r>
            <w:r>
              <w:rPr>
                <w:rFonts w:ascii="Times New Roman" w:hAnsi="Times New Roman" w:eastAsia="仿宋_GB2312" w:cs="Times New Roman"/>
                <w:kern w:val="0"/>
                <w:sz w:val="20"/>
                <w:szCs w:val="20"/>
              </w:rPr>
              <w:t xml:space="preserve"> </w:t>
            </w:r>
            <w:r>
              <w:rPr>
                <w:rFonts w:hint="eastAsia" w:ascii="Times New Roman" w:hAnsi="Times New Roman" w:eastAsia="仿宋_GB2312" w:cs="仿宋_GB2312"/>
                <w:kern w:val="0"/>
                <w:sz w:val="20"/>
                <w:szCs w:val="20"/>
              </w:rPr>
              <w:t>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1074"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经济效益</w:t>
            </w:r>
          </w:p>
        </w:tc>
        <w:tc>
          <w:tcPr>
            <w:tcW w:w="516" w:type="dxa"/>
            <w:vMerge w:val="restart"/>
            <w:tcBorders>
              <w:top w:val="nil"/>
              <w:left w:val="single" w:color="auto" w:sz="4" w:space="0"/>
              <w:bottom w:val="nil"/>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6190" w:type="dxa"/>
            <w:gridSpan w:val="2"/>
            <w:vMerge w:val="restart"/>
            <w:tcBorders>
              <w:top w:val="single" w:color="auto" w:sz="4" w:space="0"/>
              <w:left w:val="single" w:color="auto" w:sz="4" w:space="0"/>
              <w:bottom w:val="nil"/>
              <w:right w:val="single" w:color="000000"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color="auto" w:sz="4" w:space="0"/>
            </w:tcBorders>
            <w:vAlign w:val="center"/>
          </w:tcPr>
          <w:p>
            <w:pPr>
              <w:widowControl/>
              <w:spacing w:line="600" w:lineRule="exact"/>
              <w:jc w:val="left"/>
              <w:rPr>
                <w:rFonts w:ascii="Times New Roman" w:hAnsi="Times New Roman" w:cs="Times New Roman"/>
                <w:kern w:val="0"/>
                <w:sz w:val="24"/>
                <w:szCs w:val="24"/>
              </w:rPr>
            </w:pPr>
            <w:r>
              <w:rPr>
                <w:rFonts w:hint="eastAsia" w:ascii="Times New Roman" w:hAnsi="宋体" w:cs="宋体"/>
                <w:kern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社会效益</w:t>
            </w:r>
          </w:p>
        </w:tc>
        <w:tc>
          <w:tcPr>
            <w:tcW w:w="516" w:type="dxa"/>
            <w:vMerge w:val="continue"/>
            <w:tcBorders>
              <w:top w:val="nil"/>
              <w:left w:val="single" w:color="auto" w:sz="4" w:space="0"/>
              <w:bottom w:val="nil"/>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190" w:type="dxa"/>
            <w:gridSpan w:val="2"/>
            <w:vMerge w:val="continue"/>
            <w:tcBorders>
              <w:top w:val="single" w:color="auto" w:sz="4" w:space="0"/>
              <w:left w:val="single" w:color="auto" w:sz="4" w:space="0"/>
              <w:bottom w:val="nil"/>
              <w:right w:val="single" w:color="000000" w:sz="4" w:space="0"/>
            </w:tcBorders>
            <w:vAlign w:val="center"/>
          </w:tcPr>
          <w:p>
            <w:pPr>
              <w:widowControl/>
              <w:spacing w:line="600" w:lineRule="exact"/>
              <w:jc w:val="left"/>
              <w:rPr>
                <w:rFonts w:ascii="Times New Roman" w:hAnsi="Times New Roman" w:eastAsia="仿宋_GB2312"/>
                <w:kern w:val="0"/>
                <w:sz w:val="20"/>
                <w:szCs w:val="20"/>
              </w:rPr>
            </w:pPr>
          </w:p>
        </w:tc>
        <w:tc>
          <w:tcPr>
            <w:tcW w:w="622" w:type="dxa"/>
            <w:tcBorders>
              <w:top w:val="nil"/>
              <w:left w:val="nil"/>
              <w:bottom w:val="nil"/>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eastAsia="zh-CN"/>
              </w:rPr>
            </w:pPr>
            <w:r>
              <w:rPr>
                <w:rFonts w:hint="eastAsia" w:ascii="Times New Roman" w:hAnsi="宋体" w:cs="宋体"/>
                <w:kern w:val="0"/>
                <w:sz w:val="24"/>
                <w:szCs w:val="24"/>
              </w:rPr>
              <w:t>　</w:t>
            </w:r>
            <w:r>
              <w:rPr>
                <w:rFonts w:hint="eastAsia" w:ascii="Times New Roman" w:hAnsi="宋体" w:cs="宋体"/>
                <w:kern w:val="0"/>
                <w:sz w:val="24"/>
                <w:szCs w:val="24"/>
                <w:lang w:val="en-US" w:eastAsia="zh-CN"/>
              </w:rPr>
              <w:t xml:space="preserve">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000000"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restart"/>
            <w:tcBorders>
              <w:top w:val="nil"/>
              <w:left w:val="single" w:color="auto" w:sz="4" w:space="0"/>
              <w:bottom w:val="single" w:color="000000"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12</w:t>
            </w: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行政效能</w:t>
            </w: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促进部门改进文风会风，加强经费及资产管理，推动网上办事，提高行政效率，降低行政成本效果较好的计</w:t>
            </w:r>
            <w:r>
              <w:rPr>
                <w:rFonts w:ascii="Times New Roman" w:hAnsi="Times New Roman" w:eastAsia="仿宋_GB2312" w:cs="Times New Roman"/>
                <w:kern w:val="0"/>
                <w:sz w:val="20"/>
                <w:szCs w:val="20"/>
              </w:rPr>
              <w:t>6</w:t>
            </w:r>
            <w:r>
              <w:rPr>
                <w:rFonts w:hint="eastAsia" w:ascii="Times New Roman" w:hAnsi="Times New Roman" w:eastAsia="仿宋_GB2312" w:cs="仿宋_GB2312"/>
                <w:kern w:val="0"/>
                <w:sz w:val="20"/>
                <w:szCs w:val="20"/>
              </w:rPr>
              <w:t>分；一般</w:t>
            </w:r>
            <w:r>
              <w:rPr>
                <w:rFonts w:ascii="Times New Roman" w:hAnsi="Times New Roman" w:eastAsia="仿宋_GB2312" w:cs="Times New Roman"/>
                <w:kern w:val="0"/>
                <w:sz w:val="20"/>
                <w:szCs w:val="20"/>
              </w:rPr>
              <w:t>3</w:t>
            </w:r>
            <w:r>
              <w:rPr>
                <w:rFonts w:hint="eastAsia" w:ascii="Times New Roman" w:hAnsi="Times New Roman" w:eastAsia="仿宋_GB2312" w:cs="仿宋_GB2312"/>
                <w:kern w:val="0"/>
                <w:sz w:val="20"/>
                <w:szCs w:val="20"/>
              </w:rPr>
              <w:t>分；无效果或者效果不明显</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分。</w:t>
            </w:r>
          </w:p>
        </w:tc>
        <w:tc>
          <w:tcPr>
            <w:tcW w:w="3312"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根据部门自评材料评定。</w:t>
            </w:r>
          </w:p>
        </w:tc>
        <w:tc>
          <w:tcPr>
            <w:tcW w:w="622" w:type="dxa"/>
            <w:tcBorders>
              <w:top w:val="single" w:color="auto" w:sz="4" w:space="0"/>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eastAsia="zh-CN"/>
              </w:rPr>
            </w:pPr>
            <w:r>
              <w:rPr>
                <w:rFonts w:hint="eastAsia" w:ascii="Times New Roman" w:hAnsi="宋体" w:cs="宋体"/>
                <w:kern w:val="0"/>
                <w:sz w:val="24"/>
                <w:szCs w:val="24"/>
              </w:rPr>
              <w:t>　</w:t>
            </w:r>
            <w:r>
              <w:rPr>
                <w:rFonts w:hint="eastAsia" w:ascii="Times New Roman" w:hAnsi="宋体" w:cs="宋体"/>
                <w:kern w:val="0"/>
                <w:sz w:val="24"/>
                <w:szCs w:val="24"/>
                <w:lang w:val="en-US" w:eastAsia="zh-CN"/>
              </w:rPr>
              <w:t xml:space="preserve">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8"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59"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1074"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社会公众或服务对象满意度</w:t>
            </w:r>
          </w:p>
        </w:tc>
        <w:tc>
          <w:tcPr>
            <w:tcW w:w="516" w:type="dxa"/>
            <w:tcBorders>
              <w:top w:val="nil"/>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6</w:t>
            </w:r>
          </w:p>
        </w:tc>
        <w:tc>
          <w:tcPr>
            <w:tcW w:w="2878"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90%</w:t>
            </w:r>
            <w:r>
              <w:rPr>
                <w:rFonts w:hint="eastAsia" w:ascii="Times New Roman" w:hAnsi="Times New Roman" w:eastAsia="仿宋_GB2312" w:cs="仿宋_GB2312"/>
                <w:kern w:val="0"/>
                <w:sz w:val="20"/>
                <w:szCs w:val="20"/>
              </w:rPr>
              <w:t>（含）以上计</w:t>
            </w:r>
            <w:r>
              <w:rPr>
                <w:rFonts w:ascii="Times New Roman" w:hAnsi="Times New Roman" w:eastAsia="仿宋_GB2312" w:cs="Times New Roman"/>
                <w:kern w:val="0"/>
                <w:sz w:val="20"/>
                <w:szCs w:val="20"/>
              </w:rPr>
              <w:t>6</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ascii="Times New Roman" w:hAnsi="Times New Roman" w:eastAsia="仿宋_GB2312" w:cs="Times New Roman"/>
                <w:kern w:val="0"/>
                <w:sz w:val="20"/>
                <w:szCs w:val="20"/>
              </w:rPr>
              <w:t>80%</w:t>
            </w:r>
            <w:r>
              <w:rPr>
                <w:rFonts w:hint="eastAsia" w:ascii="Times New Roman" w:hAnsi="Times New Roman" w:eastAsia="仿宋_GB2312" w:cs="仿宋_GB2312"/>
                <w:kern w:val="0"/>
                <w:sz w:val="20"/>
                <w:szCs w:val="20"/>
              </w:rPr>
              <w:t>（含）</w:t>
            </w:r>
            <w:r>
              <w:rPr>
                <w:rFonts w:ascii="Times New Roman" w:hAnsi="Times New Roman" w:eastAsia="仿宋_GB2312" w:cs="Times New Roman"/>
                <w:kern w:val="0"/>
                <w:sz w:val="20"/>
                <w:szCs w:val="20"/>
              </w:rPr>
              <w:t>-90%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4</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ascii="Times New Roman" w:hAnsi="Times New Roman" w:eastAsia="仿宋_GB2312" w:cs="Times New Roman"/>
                <w:kern w:val="0"/>
                <w:sz w:val="20"/>
                <w:szCs w:val="20"/>
              </w:rPr>
              <w:t>70%</w:t>
            </w:r>
            <w:r>
              <w:rPr>
                <w:rFonts w:hint="eastAsia" w:ascii="Times New Roman" w:hAnsi="Times New Roman" w:eastAsia="仿宋_GB2312" w:cs="仿宋_GB2312"/>
                <w:kern w:val="0"/>
                <w:sz w:val="20"/>
                <w:szCs w:val="20"/>
              </w:rPr>
              <w:t>（含）</w:t>
            </w:r>
            <w:r>
              <w:rPr>
                <w:rFonts w:ascii="Times New Roman" w:hAnsi="Times New Roman" w:eastAsia="仿宋_GB2312" w:cs="Times New Roman"/>
                <w:kern w:val="0"/>
                <w:sz w:val="20"/>
                <w:szCs w:val="20"/>
              </w:rPr>
              <w:t>-80%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2</w:t>
            </w:r>
            <w:r>
              <w:rPr>
                <w:rFonts w:hint="eastAsia" w:ascii="Times New Roman" w:hAnsi="Times New Roman" w:eastAsia="仿宋_GB2312" w:cs="仿宋_GB2312"/>
                <w:kern w:val="0"/>
                <w:sz w:val="20"/>
                <w:szCs w:val="20"/>
              </w:rPr>
              <w:t>分；</w:t>
            </w:r>
            <w:r>
              <w:rPr>
                <w:rFonts w:ascii="Times New Roman" w:hAnsi="Times New Roman" w:eastAsia="仿宋_GB2312"/>
                <w:kern w:val="0"/>
                <w:sz w:val="20"/>
                <w:szCs w:val="20"/>
              </w:rPr>
              <w:br w:type="textWrapping"/>
            </w:r>
            <w:r>
              <w:rPr>
                <w:rFonts w:hint="eastAsia" w:ascii="Times New Roman" w:hAnsi="Times New Roman" w:eastAsia="仿宋_GB2312" w:cs="仿宋_GB2312"/>
                <w:kern w:val="0"/>
                <w:sz w:val="20"/>
                <w:szCs w:val="20"/>
              </w:rPr>
              <w:t>低于</w:t>
            </w:r>
            <w:r>
              <w:rPr>
                <w:rFonts w:ascii="Times New Roman" w:hAnsi="Times New Roman" w:eastAsia="仿宋_GB2312" w:cs="Times New Roman"/>
                <w:kern w:val="0"/>
                <w:sz w:val="20"/>
                <w:szCs w:val="20"/>
              </w:rPr>
              <w:t>70%</w:t>
            </w:r>
            <w:r>
              <w:rPr>
                <w:rFonts w:hint="eastAsia" w:ascii="Times New Roman" w:hAnsi="Times New Roman" w:eastAsia="仿宋_GB2312" w:cs="仿宋_GB2312"/>
                <w:kern w:val="0"/>
                <w:sz w:val="20"/>
                <w:szCs w:val="20"/>
              </w:rPr>
              <w:t>计</w:t>
            </w:r>
            <w:r>
              <w:rPr>
                <w:rFonts w:ascii="Times New Roman" w:hAnsi="Times New Roman" w:eastAsia="仿宋_GB2312" w:cs="Times New Roman"/>
                <w:kern w:val="0"/>
                <w:sz w:val="20"/>
                <w:szCs w:val="20"/>
              </w:rPr>
              <w:t>0</w:t>
            </w:r>
            <w:r>
              <w:rPr>
                <w:rFonts w:hint="eastAsia" w:ascii="Times New Roman" w:hAnsi="Times New Roman" w:eastAsia="仿宋_GB2312" w:cs="仿宋_GB2312"/>
                <w:kern w:val="0"/>
                <w:sz w:val="20"/>
                <w:szCs w:val="20"/>
              </w:rPr>
              <w:t>分。</w:t>
            </w:r>
          </w:p>
        </w:tc>
        <w:tc>
          <w:tcPr>
            <w:tcW w:w="3312" w:type="dxa"/>
            <w:tcBorders>
              <w:top w:val="nil"/>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社会公众或服务对象是指部门（单位）履行职责而影响到的部门、群体或个人，一般采取社会调查的方式。</w:t>
            </w:r>
          </w:p>
        </w:tc>
        <w:tc>
          <w:tcPr>
            <w:tcW w:w="622" w:type="dxa"/>
            <w:tcBorders>
              <w:top w:val="nil"/>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宋体" w:cs="宋体"/>
                <w:kern w:val="0"/>
                <w:sz w:val="24"/>
                <w:szCs w:val="24"/>
                <w:lang w:val="en-US" w:eastAsia="zh-CN"/>
              </w:rPr>
              <w:t xml:space="preserve">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678"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hint="eastAsia" w:ascii="Times New Roman" w:hAnsi="Times New Roman" w:eastAsia="仿宋_GB2312" w:cs="仿宋_GB2312"/>
                <w:kern w:val="0"/>
                <w:sz w:val="20"/>
                <w:szCs w:val="20"/>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p>
        </w:tc>
        <w:tc>
          <w:tcPr>
            <w:tcW w:w="65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p>
        </w:tc>
        <w:tc>
          <w:tcPr>
            <w:tcW w:w="1074"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516" w:type="dxa"/>
            <w:tcBorders>
              <w:top w:val="single" w:color="auto" w:sz="4" w:space="0"/>
              <w:left w:val="nil"/>
              <w:bottom w:val="single" w:color="auto" w:sz="4" w:space="0"/>
              <w:right w:val="single" w:color="auto" w:sz="4" w:space="0"/>
            </w:tcBorders>
            <w:vAlign w:val="center"/>
          </w:tcPr>
          <w:p>
            <w:pPr>
              <w:widowControl/>
              <w:spacing w:line="600" w:lineRule="exact"/>
              <w:jc w:val="center"/>
              <w:rPr>
                <w:rFonts w:ascii="Times New Roman" w:hAnsi="Times New Roman" w:eastAsia="仿宋_GB2312"/>
                <w:kern w:val="0"/>
                <w:sz w:val="20"/>
                <w:szCs w:val="20"/>
              </w:rPr>
            </w:pPr>
            <w:r>
              <w:rPr>
                <w:rFonts w:ascii="Times New Roman" w:hAnsi="Times New Roman" w:eastAsia="仿宋_GB2312" w:cs="Times New Roman"/>
                <w:kern w:val="0"/>
                <w:sz w:val="20"/>
                <w:szCs w:val="20"/>
              </w:rPr>
              <w:t>100</w:t>
            </w:r>
          </w:p>
        </w:tc>
        <w:tc>
          <w:tcPr>
            <w:tcW w:w="2878"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3312" w:type="dxa"/>
            <w:tcBorders>
              <w:top w:val="single" w:color="auto" w:sz="4" w:space="0"/>
              <w:left w:val="nil"/>
              <w:bottom w:val="single" w:color="auto" w:sz="4" w:space="0"/>
              <w:right w:val="single" w:color="auto" w:sz="4" w:space="0"/>
            </w:tcBorders>
            <w:vAlign w:val="center"/>
          </w:tcPr>
          <w:p>
            <w:pPr>
              <w:widowControl/>
              <w:spacing w:line="600" w:lineRule="exact"/>
              <w:jc w:val="left"/>
              <w:rPr>
                <w:rFonts w:ascii="Times New Roman" w:hAnsi="Times New Roman" w:eastAsia="仿宋_GB2312"/>
                <w:kern w:val="0"/>
                <w:sz w:val="20"/>
                <w:szCs w:val="20"/>
              </w:rPr>
            </w:pPr>
          </w:p>
        </w:tc>
        <w:tc>
          <w:tcPr>
            <w:tcW w:w="622" w:type="dxa"/>
            <w:tcBorders>
              <w:top w:val="single" w:color="auto" w:sz="4" w:space="0"/>
              <w:left w:val="nil"/>
              <w:bottom w:val="single" w:color="auto" w:sz="4" w:space="0"/>
              <w:right w:val="single" w:color="auto" w:sz="4" w:space="0"/>
            </w:tcBorders>
            <w:vAlign w:val="center"/>
          </w:tcPr>
          <w:p>
            <w:pPr>
              <w:widowControl/>
              <w:spacing w:line="600" w:lineRule="exact"/>
              <w:jc w:val="left"/>
              <w:rPr>
                <w:rFonts w:hint="eastAsia"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 xml:space="preserve"> 98</w:t>
            </w:r>
          </w:p>
        </w:tc>
      </w:tr>
    </w:tbl>
    <w:p>
      <w:pPr>
        <w:widowControl/>
        <w:spacing w:line="600" w:lineRule="exact"/>
        <w:rPr>
          <w:rFonts w:ascii="Times New Roman" w:hAnsi="Times New Roman" w:eastAsia="黑体"/>
          <w:color w:val="00000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531"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13</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3D9EBC"/>
    <w:multiLevelType w:val="singleLevel"/>
    <w:tmpl w:val="FB3D9EBC"/>
    <w:lvl w:ilvl="0" w:tentative="0">
      <w:start w:val="2"/>
      <w:numFmt w:val="chineseCounting"/>
      <w:suff w:val="space"/>
      <w:lvlText w:val="（%1）"/>
      <w:lvlJc w:val="left"/>
      <w:rPr>
        <w:rFonts w:hint="eastAsia"/>
      </w:rPr>
    </w:lvl>
  </w:abstractNum>
  <w:abstractNum w:abstractNumId="1">
    <w:nsid w:val="3640DDA6"/>
    <w:multiLevelType w:val="singleLevel"/>
    <w:tmpl w:val="3640DDA6"/>
    <w:lvl w:ilvl="0" w:tentative="0">
      <w:start w:val="4"/>
      <w:numFmt w:val="chineseCounting"/>
      <w:suff w:val="nothing"/>
      <w:lvlText w:val="%1、"/>
      <w:lvlJc w:val="left"/>
      <w:rPr>
        <w:rFonts w:hint="eastAsia"/>
      </w:rPr>
    </w:lvl>
  </w:abstractNum>
  <w:abstractNum w:abstractNumId="2">
    <w:nsid w:val="5DDB4B2D"/>
    <w:multiLevelType w:val="singleLevel"/>
    <w:tmpl w:val="5DDB4B2D"/>
    <w:lvl w:ilvl="0" w:tentative="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8255D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qFormat="1" w:unhideWhenUsed="0" w:uiPriority="99" w:name="HTML Address"/>
    <w:lsdException w:qFormat="1" w:unhideWhenUsed="0" w:uiPriority="99" w:name="HTML Cite"/>
    <w:lsdException w:qFormat="1" w:unhideWhenUsed="0"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18"/>
    <w:qFormat/>
    <w:uiPriority w:val="99"/>
    <w:pPr>
      <w:widowControl/>
      <w:spacing w:before="100" w:beforeAutospacing="1" w:after="100" w:afterAutospacing="1"/>
      <w:jc w:val="left"/>
      <w:outlineLvl w:val="0"/>
    </w:pPr>
    <w:rPr>
      <w:rFonts w:ascii="宋体" w:hAnsi="宋体" w:cs="宋体"/>
      <w:kern w:val="36"/>
      <w:sz w:val="48"/>
      <w:szCs w:val="48"/>
    </w:rPr>
  </w:style>
  <w:style w:type="paragraph" w:styleId="3">
    <w:name w:val="heading 2"/>
    <w:basedOn w:val="1"/>
    <w:next w:val="1"/>
    <w:link w:val="119"/>
    <w:qFormat/>
    <w:uiPriority w:val="99"/>
    <w:pPr>
      <w:widowControl/>
      <w:spacing w:before="100" w:beforeAutospacing="1" w:after="100" w:afterAutospacing="1"/>
      <w:jc w:val="left"/>
      <w:outlineLvl w:val="1"/>
    </w:pPr>
    <w:rPr>
      <w:rFonts w:ascii="宋体" w:hAnsi="宋体" w:cs="宋体"/>
      <w:kern w:val="0"/>
      <w:sz w:val="36"/>
      <w:szCs w:val="36"/>
    </w:rPr>
  </w:style>
  <w:style w:type="paragraph" w:styleId="4">
    <w:name w:val="heading 3"/>
    <w:basedOn w:val="1"/>
    <w:next w:val="1"/>
    <w:link w:val="120"/>
    <w:qFormat/>
    <w:uiPriority w:val="99"/>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1"/>
    <w:next w:val="1"/>
    <w:link w:val="121"/>
    <w:qFormat/>
    <w:uiPriority w:val="99"/>
    <w:pPr>
      <w:widowControl/>
      <w:spacing w:before="100" w:beforeAutospacing="1" w:after="100" w:afterAutospacing="1"/>
      <w:jc w:val="left"/>
      <w:outlineLvl w:val="3"/>
    </w:pPr>
    <w:rPr>
      <w:rFonts w:ascii="宋体" w:hAnsi="宋体" w:cs="宋体"/>
      <w:kern w:val="0"/>
      <w:sz w:val="24"/>
      <w:szCs w:val="24"/>
    </w:rPr>
  </w:style>
  <w:style w:type="paragraph" w:styleId="6">
    <w:name w:val="heading 5"/>
    <w:basedOn w:val="1"/>
    <w:next w:val="1"/>
    <w:link w:val="122"/>
    <w:qFormat/>
    <w:uiPriority w:val="99"/>
    <w:pPr>
      <w:widowControl/>
      <w:spacing w:before="100" w:beforeAutospacing="1" w:after="100" w:afterAutospacing="1"/>
      <w:jc w:val="left"/>
      <w:outlineLvl w:val="4"/>
    </w:pPr>
    <w:rPr>
      <w:rFonts w:ascii="宋体" w:hAnsi="宋体" w:cs="宋体"/>
      <w:kern w:val="0"/>
      <w:sz w:val="20"/>
      <w:szCs w:val="20"/>
    </w:rPr>
  </w:style>
  <w:style w:type="paragraph" w:styleId="7">
    <w:name w:val="heading 6"/>
    <w:basedOn w:val="1"/>
    <w:next w:val="1"/>
    <w:link w:val="123"/>
    <w:qFormat/>
    <w:uiPriority w:val="99"/>
    <w:pPr>
      <w:widowControl/>
      <w:spacing w:before="100" w:beforeAutospacing="1" w:after="100" w:afterAutospacing="1"/>
      <w:jc w:val="left"/>
      <w:outlineLvl w:val="5"/>
    </w:pPr>
    <w:rPr>
      <w:rFonts w:ascii="宋体" w:hAnsi="宋体" w:cs="宋体"/>
      <w:kern w:val="0"/>
      <w:sz w:val="15"/>
      <w:szCs w:val="15"/>
    </w:rPr>
  </w:style>
  <w:style w:type="character" w:default="1" w:styleId="13">
    <w:name w:val="Default Paragraph Font"/>
    <w:semiHidden/>
    <w:qFormat/>
    <w:uiPriority w:val="99"/>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HTML Address"/>
    <w:basedOn w:val="1"/>
    <w:link w:val="124"/>
    <w:semiHidden/>
    <w:qFormat/>
    <w:uiPriority w:val="99"/>
    <w:pPr>
      <w:widowControl/>
      <w:jc w:val="left"/>
    </w:pPr>
    <w:rPr>
      <w:rFonts w:ascii="宋体" w:hAnsi="宋体" w:cs="宋体"/>
      <w:kern w:val="0"/>
      <w:sz w:val="24"/>
      <w:szCs w:val="24"/>
    </w:rPr>
  </w:style>
  <w:style w:type="paragraph" w:styleId="9">
    <w:name w:val="footer"/>
    <w:basedOn w:val="1"/>
    <w:link w:val="128"/>
    <w:qFormat/>
    <w:uiPriority w:val="99"/>
    <w:pPr>
      <w:tabs>
        <w:tab w:val="center" w:pos="4153"/>
        <w:tab w:val="right" w:pos="8306"/>
      </w:tabs>
      <w:snapToGrid w:val="0"/>
      <w:jc w:val="left"/>
    </w:pPr>
    <w:rPr>
      <w:sz w:val="18"/>
      <w:szCs w:val="18"/>
    </w:rPr>
  </w:style>
  <w:style w:type="paragraph" w:styleId="10">
    <w:name w:val="header"/>
    <w:basedOn w:val="1"/>
    <w:link w:val="127"/>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4">
    <w:name w:val="Strong"/>
    <w:basedOn w:val="13"/>
    <w:qFormat/>
    <w:locked/>
    <w:uiPriority w:val="0"/>
    <w:rPr>
      <w:b/>
      <w:bCs/>
    </w:rPr>
  </w:style>
  <w:style w:type="character" w:styleId="15">
    <w:name w:val="page number"/>
    <w:basedOn w:val="13"/>
    <w:semiHidden/>
    <w:unhideWhenUsed/>
    <w:qFormat/>
    <w:uiPriority w:val="99"/>
  </w:style>
  <w:style w:type="character" w:styleId="16">
    <w:name w:val="FollowedHyperlink"/>
    <w:basedOn w:val="13"/>
    <w:semiHidden/>
    <w:qFormat/>
    <w:uiPriority w:val="99"/>
    <w:rPr>
      <w:rFonts w:cs="Times New Roman"/>
      <w:color w:val="auto"/>
      <w:u w:val="none"/>
    </w:rPr>
  </w:style>
  <w:style w:type="character" w:styleId="17">
    <w:name w:val="Emphasis"/>
    <w:basedOn w:val="13"/>
    <w:qFormat/>
    <w:uiPriority w:val="99"/>
    <w:rPr>
      <w:rFonts w:cs="Times New Roman"/>
    </w:rPr>
  </w:style>
  <w:style w:type="character" w:styleId="18">
    <w:name w:val="Hyperlink"/>
    <w:basedOn w:val="13"/>
    <w:semiHidden/>
    <w:qFormat/>
    <w:uiPriority w:val="99"/>
    <w:rPr>
      <w:rFonts w:cs="Times New Roman"/>
      <w:color w:val="auto"/>
      <w:u w:val="none"/>
    </w:rPr>
  </w:style>
  <w:style w:type="character" w:styleId="19">
    <w:name w:val="HTML Code"/>
    <w:basedOn w:val="13"/>
    <w:semiHidden/>
    <w:qFormat/>
    <w:uiPriority w:val="99"/>
    <w:rPr>
      <w:rFonts w:ascii="宋体" w:hAnsi="宋体" w:eastAsia="宋体" w:cs="宋体"/>
      <w:sz w:val="24"/>
      <w:szCs w:val="24"/>
    </w:rPr>
  </w:style>
  <w:style w:type="character" w:styleId="20">
    <w:name w:val="HTML Cite"/>
    <w:basedOn w:val="13"/>
    <w:semiHidden/>
    <w:qFormat/>
    <w:uiPriority w:val="99"/>
    <w:rPr>
      <w:rFonts w:cs="Times New Roman"/>
    </w:rPr>
  </w:style>
  <w:style w:type="paragraph" w:customStyle="1" w:styleId="21">
    <w:name w:val="fb"/>
    <w:basedOn w:val="1"/>
    <w:qFormat/>
    <w:uiPriority w:val="99"/>
    <w:pPr>
      <w:widowControl/>
      <w:spacing w:before="100" w:beforeAutospacing="1" w:after="100" w:afterAutospacing="1"/>
      <w:jc w:val="left"/>
    </w:pPr>
    <w:rPr>
      <w:rFonts w:ascii="宋体" w:hAnsi="宋体" w:cs="宋体"/>
      <w:b/>
      <w:bCs/>
      <w:kern w:val="0"/>
      <w:sz w:val="24"/>
      <w:szCs w:val="24"/>
    </w:rPr>
  </w:style>
  <w:style w:type="paragraph" w:customStyle="1" w:styleId="22">
    <w:name w:val="cwhite"/>
    <w:basedOn w:val="1"/>
    <w:qFormat/>
    <w:uiPriority w:val="99"/>
    <w:pPr>
      <w:widowControl/>
      <w:spacing w:before="100" w:beforeAutospacing="1" w:after="100" w:afterAutospacing="1"/>
      <w:jc w:val="left"/>
    </w:pPr>
    <w:rPr>
      <w:rFonts w:ascii="宋体" w:hAnsi="宋体" w:cs="宋体"/>
      <w:color w:val="FFFFFF"/>
      <w:kern w:val="0"/>
      <w:sz w:val="24"/>
      <w:szCs w:val="24"/>
    </w:rPr>
  </w:style>
  <w:style w:type="paragraph" w:customStyle="1" w:styleId="23">
    <w:name w:val="cgray"/>
    <w:basedOn w:val="1"/>
    <w:qFormat/>
    <w:uiPriority w:val="99"/>
    <w:pPr>
      <w:widowControl/>
      <w:spacing w:before="100" w:beforeAutospacing="1" w:after="100" w:afterAutospacing="1"/>
      <w:jc w:val="left"/>
    </w:pPr>
    <w:rPr>
      <w:rFonts w:ascii="宋体" w:hAnsi="宋体" w:cs="宋体"/>
      <w:color w:val="999999"/>
      <w:kern w:val="0"/>
      <w:sz w:val="24"/>
      <w:szCs w:val="24"/>
    </w:rPr>
  </w:style>
  <w:style w:type="paragraph" w:customStyle="1" w:styleId="24">
    <w:name w:val="cf14"/>
    <w:basedOn w:val="1"/>
    <w:qFormat/>
    <w:uiPriority w:val="99"/>
    <w:pPr>
      <w:widowControl/>
      <w:spacing w:before="100" w:beforeAutospacing="1" w:after="100" w:afterAutospacing="1"/>
      <w:jc w:val="left"/>
    </w:pPr>
    <w:rPr>
      <w:rFonts w:ascii="宋体" w:hAnsi="宋体" w:cs="宋体"/>
      <w:kern w:val="0"/>
    </w:rPr>
  </w:style>
  <w:style w:type="paragraph" w:customStyle="1" w:styleId="25">
    <w:name w:val="line"/>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26">
    <w:name w:val="line2"/>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27">
    <w:name w:val="top_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ban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9">
    <w:name w:val="top_nav"/>
    <w:basedOn w:val="1"/>
    <w:qFormat/>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0">
    <w:name w:val="top_clear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1">
    <w:name w:val="nav"/>
    <w:basedOn w:val="1"/>
    <w:qFormat/>
    <w:uiPriority w:val="99"/>
    <w:pPr>
      <w:widowControl/>
      <w:spacing w:before="100" w:beforeAutospacing="1" w:after="100" w:afterAutospacing="1" w:line="495" w:lineRule="atLeast"/>
      <w:jc w:val="left"/>
    </w:pPr>
    <w:rPr>
      <w:rFonts w:ascii="宋体" w:hAnsi="宋体" w:cs="宋体"/>
      <w:color w:val="FFFFFF"/>
      <w:kern w:val="0"/>
    </w:rPr>
  </w:style>
  <w:style w:type="paragraph" w:customStyle="1" w:styleId="32">
    <w:name w:val="topinpu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4">
    <w:name w:val="btn0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5">
    <w:name w:val="vm"/>
    <w:basedOn w:val="1"/>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36">
    <w:name w:val="navbox"/>
    <w:basedOn w:val="1"/>
    <w:uiPriority w:val="99"/>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37">
    <w:name w:val="页眉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8">
    <w:name w:val="页脚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9">
    <w:name w:val="main"/>
    <w:basedOn w:val="1"/>
    <w:qFormat/>
    <w:uiPriority w:val="99"/>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40">
    <w:name w:val="newsbox"/>
    <w:basedOn w:val="1"/>
    <w:qFormat/>
    <w:uiPriority w:val="99"/>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41">
    <w:name w:val="newsconcent"/>
    <w:basedOn w:val="1"/>
    <w:qFormat/>
    <w:uiPriority w:val="99"/>
    <w:pPr>
      <w:widowControl/>
      <w:spacing w:before="150" w:after="100" w:afterAutospacing="1"/>
      <w:jc w:val="left"/>
    </w:pPr>
    <w:rPr>
      <w:rFonts w:ascii="宋体" w:hAnsi="宋体" w:cs="宋体"/>
      <w:kern w:val="0"/>
      <w:sz w:val="24"/>
      <w:szCs w:val="24"/>
    </w:rPr>
  </w:style>
  <w:style w:type="paragraph" w:customStyle="1" w:styleId="42">
    <w:name w:val="newstit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3">
    <w:name w:val="line_bottom_dotted"/>
    <w:basedOn w:val="1"/>
    <w:qFormat/>
    <w:uiPriority w:val="99"/>
    <w:pPr>
      <w:widowControl/>
      <w:pBdr>
        <w:bottom w:val="dotted" w:color="CCCCCC" w:sz="6" w:space="0"/>
      </w:pBdr>
      <w:spacing w:before="100" w:beforeAutospacing="1" w:after="100" w:afterAutospacing="1"/>
      <w:jc w:val="left"/>
    </w:pPr>
    <w:rPr>
      <w:rFonts w:ascii="宋体" w:hAnsi="宋体" w:cs="宋体"/>
      <w:kern w:val="0"/>
      <w:sz w:val="24"/>
      <w:szCs w:val="24"/>
    </w:rPr>
  </w:style>
  <w:style w:type="paragraph" w:customStyle="1" w:styleId="44">
    <w:name w:val="line_3_solid"/>
    <w:basedOn w:val="1"/>
    <w:qFormat/>
    <w:uiPriority w:val="99"/>
    <w:pPr>
      <w:widowControl/>
      <w:pBdr>
        <w:left w:val="single" w:color="CCCCCC" w:sz="6" w:space="0"/>
        <w:bottom w:val="single" w:color="CCCCCC" w:sz="6" w:space="0"/>
        <w:right w:val="single" w:color="CCCCCC" w:sz="6" w:space="0"/>
      </w:pBdr>
      <w:spacing w:before="100" w:beforeAutospacing="1" w:after="100" w:afterAutospacing="1"/>
      <w:jc w:val="left"/>
    </w:pPr>
    <w:rPr>
      <w:rFonts w:ascii="宋体" w:hAnsi="宋体" w:cs="宋体"/>
      <w:kern w:val="0"/>
      <w:sz w:val="24"/>
      <w:szCs w:val="24"/>
    </w:rPr>
  </w:style>
  <w:style w:type="paragraph" w:customStyle="1" w:styleId="45">
    <w:name w:val="line_top_red"/>
    <w:basedOn w:val="1"/>
    <w:qFormat/>
    <w:uiPriority w:val="99"/>
    <w:pPr>
      <w:widowControl/>
      <w:pBdr>
        <w:top w:val="single" w:color="CC0000" w:sz="12" w:space="0"/>
      </w:pBdr>
      <w:spacing w:before="100" w:beforeAutospacing="1" w:after="100" w:afterAutospacing="1"/>
      <w:jc w:val="left"/>
    </w:pPr>
    <w:rPr>
      <w:rFonts w:ascii="宋体" w:hAnsi="宋体" w:cs="宋体"/>
      <w:kern w:val="0"/>
      <w:sz w:val="24"/>
      <w:szCs w:val="24"/>
    </w:rPr>
  </w:style>
  <w:style w:type="paragraph" w:customStyle="1" w:styleId="46">
    <w:name w:val="line_bottom_red"/>
    <w:basedOn w:val="1"/>
    <w:qFormat/>
    <w:uiPriority w:val="99"/>
    <w:pPr>
      <w:widowControl/>
      <w:pBdr>
        <w:bottom w:val="single" w:color="CC0000" w:sz="12" w:space="0"/>
      </w:pBdr>
      <w:spacing w:before="100" w:beforeAutospacing="1" w:after="100" w:afterAutospacing="1"/>
      <w:jc w:val="left"/>
    </w:pPr>
    <w:rPr>
      <w:rFonts w:ascii="宋体" w:hAnsi="宋体" w:cs="宋体"/>
      <w:kern w:val="0"/>
      <w:sz w:val="24"/>
      <w:szCs w:val="24"/>
    </w:rPr>
  </w:style>
  <w:style w:type="paragraph" w:customStyle="1" w:styleId="47">
    <w:name w:val="newslist_red"/>
    <w:basedOn w:val="1"/>
    <w:qFormat/>
    <w:uiPriority w:val="99"/>
    <w:pPr>
      <w:widowControl/>
      <w:pBdr>
        <w:bottom w:val="single" w:color="CC0000" w:sz="12" w:space="0"/>
      </w:pBdr>
      <w:spacing w:before="100" w:beforeAutospacing="1" w:after="100" w:afterAutospacing="1" w:line="525" w:lineRule="atLeast"/>
      <w:jc w:val="center"/>
    </w:pPr>
    <w:rPr>
      <w:rFonts w:ascii="宋体" w:hAnsi="宋体" w:cs="宋体"/>
      <w:color w:val="AD0606"/>
      <w:kern w:val="0"/>
    </w:rPr>
  </w:style>
  <w:style w:type="paragraph" w:customStyle="1" w:styleId="48">
    <w:name w:val="newslist_black"/>
    <w:basedOn w:val="1"/>
    <w:qFormat/>
    <w:uiPriority w:val="99"/>
    <w:pPr>
      <w:widowControl/>
      <w:spacing w:before="100" w:beforeAutospacing="1" w:after="100" w:afterAutospacing="1" w:line="525" w:lineRule="atLeast"/>
      <w:jc w:val="center"/>
    </w:pPr>
    <w:rPr>
      <w:rFonts w:ascii="宋体" w:hAnsi="宋体" w:cs="宋体"/>
      <w:kern w:val="0"/>
    </w:rPr>
  </w:style>
  <w:style w:type="paragraph" w:customStyle="1" w:styleId="49">
    <w:name w:val="zwgk"/>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
    <w:name w:val="zwgk_top"/>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1">
    <w:name w:val="zwgk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2">
    <w:name w:val="fwym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3">
    <w:name w:val="bs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4">
    <w:name w:val="hdfw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
    <w:name w:val="ymzc_top_tite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
    <w:name w:val="martop9"/>
    <w:basedOn w:val="1"/>
    <w:qFormat/>
    <w:uiPriority w:val="99"/>
    <w:pPr>
      <w:widowControl/>
      <w:spacing w:before="135" w:after="100" w:afterAutospacing="1"/>
      <w:jc w:val="left"/>
    </w:pPr>
    <w:rPr>
      <w:rFonts w:ascii="宋体" w:hAnsi="宋体" w:cs="宋体"/>
      <w:kern w:val="0"/>
      <w:sz w:val="24"/>
      <w:szCs w:val="24"/>
    </w:rPr>
  </w:style>
  <w:style w:type="paragraph" w:customStyle="1" w:styleId="57">
    <w:name w:val="marleft20"/>
    <w:basedOn w:val="1"/>
    <w:qFormat/>
    <w:uiPriority w:val="99"/>
    <w:pPr>
      <w:widowControl/>
      <w:spacing w:before="100" w:beforeAutospacing="1" w:after="100" w:afterAutospacing="1"/>
      <w:ind w:left="300"/>
      <w:jc w:val="left"/>
    </w:pPr>
    <w:rPr>
      <w:rFonts w:ascii="宋体" w:hAnsi="宋体" w:cs="宋体"/>
      <w:kern w:val="0"/>
      <w:sz w:val="24"/>
      <w:szCs w:val="24"/>
    </w:rPr>
  </w:style>
  <w:style w:type="paragraph" w:customStyle="1" w:styleId="58">
    <w:name w:val="zwgk_left_top"/>
    <w:basedOn w:val="1"/>
    <w:qFormat/>
    <w:uiPriority w:val="99"/>
    <w:pPr>
      <w:widowControl/>
      <w:spacing w:before="100" w:beforeAutospacing="1" w:after="100" w:afterAutospacing="1" w:line="495" w:lineRule="atLeast"/>
      <w:jc w:val="left"/>
    </w:pPr>
    <w:rPr>
      <w:rFonts w:ascii="宋体" w:hAnsi="宋体" w:cs="宋体"/>
      <w:b/>
      <w:bCs/>
      <w:color w:val="CC0000"/>
      <w:kern w:val="0"/>
    </w:rPr>
  </w:style>
  <w:style w:type="paragraph" w:customStyle="1" w:styleId="59">
    <w:name w:val="zwgk_nav_span"/>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60">
    <w:name w:val="zwgk_nav1"/>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1">
    <w:name w:val="zwgk_nav2"/>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2">
    <w:name w:val="zwgk_nav3"/>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3">
    <w:name w:val="zwgk_nav4"/>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4">
    <w:name w:val="zwgk_nav5"/>
    <w:basedOn w:val="1"/>
    <w:qFormat/>
    <w:uiPriority w:val="99"/>
    <w:pPr>
      <w:widowControl/>
      <w:pBdr>
        <w:top w:val="single" w:color="CCCCCC" w:sz="6" w:space="0"/>
        <w:left w:val="single" w:color="CCCCCC" w:sz="6" w:space="0"/>
        <w:bottom w:val="single" w:color="CCCCCC" w:sz="6" w:space="0"/>
        <w:right w:val="single" w:color="CCCCCC" w:sz="6" w:space="0"/>
      </w:pBdr>
      <w:spacing w:before="100" w:beforeAutospacing="1" w:after="105" w:line="570" w:lineRule="atLeast"/>
      <w:jc w:val="left"/>
    </w:pPr>
    <w:rPr>
      <w:rFonts w:ascii="宋体" w:hAnsi="宋体" w:cs="宋体"/>
      <w:kern w:val="0"/>
      <w:sz w:val="24"/>
      <w:szCs w:val="24"/>
    </w:rPr>
  </w:style>
  <w:style w:type="paragraph" w:customStyle="1" w:styleId="65">
    <w:name w:val="zwgk_right_nav"/>
    <w:basedOn w:val="1"/>
    <w:qFormat/>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66">
    <w:name w:val="zwgk_right_nav1"/>
    <w:basedOn w:val="1"/>
    <w:qFormat/>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67">
    <w:name w:val="bs_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8">
    <w:name w:val="bs_tab_bar"/>
    <w:basedOn w:val="1"/>
    <w:qFormat/>
    <w:uiPriority w:val="99"/>
    <w:pPr>
      <w:widowControl/>
      <w:spacing w:before="100" w:beforeAutospacing="1" w:after="100" w:afterAutospacing="1" w:line="465" w:lineRule="atLeast"/>
      <w:jc w:val="left"/>
    </w:pPr>
    <w:rPr>
      <w:rFonts w:ascii="宋体" w:hAnsi="宋体" w:cs="宋体"/>
      <w:b/>
      <w:bCs/>
      <w:color w:val="CC0000"/>
      <w:kern w:val="0"/>
    </w:rPr>
  </w:style>
  <w:style w:type="paragraph" w:customStyle="1" w:styleId="69">
    <w:name w:val="link_line"/>
    <w:basedOn w:val="1"/>
    <w:qFormat/>
    <w:uiPriority w:val="99"/>
    <w:pPr>
      <w:widowControl/>
      <w:pBdr>
        <w:bottom w:val="single" w:color="CC0000" w:sz="18" w:space="0"/>
      </w:pBdr>
      <w:spacing w:before="100" w:beforeAutospacing="1" w:after="100" w:afterAutospacing="1"/>
      <w:jc w:val="left"/>
    </w:pPr>
    <w:rPr>
      <w:rFonts w:ascii="宋体" w:hAnsi="宋体" w:cs="宋体"/>
      <w:kern w:val="0"/>
      <w:sz w:val="24"/>
      <w:szCs w:val="24"/>
    </w:rPr>
  </w:style>
  <w:style w:type="paragraph" w:customStyle="1" w:styleId="70">
    <w:name w:val="xl_titel"/>
    <w:basedOn w:val="1"/>
    <w:qFormat/>
    <w:uiPriority w:val="99"/>
    <w:pPr>
      <w:widowControl/>
      <w:spacing w:before="100" w:beforeAutospacing="1" w:after="100" w:afterAutospacing="1"/>
      <w:jc w:val="left"/>
    </w:pPr>
    <w:rPr>
      <w:rFonts w:ascii="宋体" w:hAnsi="宋体" w:cs="宋体"/>
      <w:kern w:val="0"/>
      <w:sz w:val="36"/>
      <w:szCs w:val="36"/>
    </w:rPr>
  </w:style>
  <w:style w:type="paragraph" w:customStyle="1" w:styleId="71">
    <w:name w:val="xl_con"/>
    <w:basedOn w:val="1"/>
    <w:qFormat/>
    <w:uiPriority w:val="99"/>
    <w:pPr>
      <w:widowControl/>
      <w:spacing w:before="100" w:beforeAutospacing="1" w:after="100" w:afterAutospacing="1" w:line="450" w:lineRule="atLeast"/>
      <w:jc w:val="left"/>
    </w:pPr>
    <w:rPr>
      <w:rFonts w:ascii="宋体" w:hAnsi="宋体" w:cs="宋体"/>
      <w:kern w:val="0"/>
    </w:rPr>
  </w:style>
  <w:style w:type="paragraph" w:customStyle="1" w:styleId="72">
    <w:name w:val="tabmore"/>
    <w:basedOn w:val="1"/>
    <w:qFormat/>
    <w:uiPriority w:val="99"/>
    <w:pPr>
      <w:widowControl/>
      <w:spacing w:before="100" w:beforeAutospacing="1" w:after="100" w:afterAutospacing="1" w:line="450" w:lineRule="atLeast"/>
      <w:jc w:val="left"/>
    </w:pPr>
    <w:rPr>
      <w:rFonts w:ascii="宋体" w:hAnsi="宋体" w:cs="宋体"/>
      <w:kern w:val="0"/>
      <w:sz w:val="24"/>
      <w:szCs w:val="24"/>
    </w:rPr>
  </w:style>
  <w:style w:type="paragraph" w:customStyle="1" w:styleId="73">
    <w:name w:val="grid1"/>
    <w:basedOn w:val="1"/>
    <w:qFormat/>
    <w:uiPriority w:val="99"/>
    <w:pPr>
      <w:widowControl/>
      <w:pBdr>
        <w:top w:val="single" w:color="DDDDDD" w:sz="6" w:space="2"/>
        <w:left w:val="single" w:color="DDDDDD" w:sz="6" w:space="2"/>
        <w:bottom w:val="single" w:color="DDDDDD" w:sz="6" w:space="2"/>
        <w:right w:val="single" w:color="DDDDDD" w:sz="6" w:space="2"/>
      </w:pBdr>
      <w:jc w:val="left"/>
    </w:pPr>
    <w:rPr>
      <w:rFonts w:ascii="宋体" w:hAnsi="宋体" w:cs="宋体"/>
      <w:kern w:val="0"/>
      <w:sz w:val="24"/>
      <w:szCs w:val="24"/>
    </w:rPr>
  </w:style>
  <w:style w:type="paragraph" w:customStyle="1" w:styleId="74">
    <w:name w:val="ta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5">
    <w:name w:val="tr_color_1"/>
    <w:basedOn w:val="1"/>
    <w:qFormat/>
    <w:uiPriority w:val="99"/>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76">
    <w:name w:val="hj-easyread-smoothtips"/>
    <w:basedOn w:val="1"/>
    <w:qFormat/>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77">
    <w:name w:val="hj-easyread-contain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8">
    <w:name w:val="navmenu"/>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9">
    <w:name w:val="searc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0">
    <w:name w:val="lef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1">
    <w:name w:val="rightlin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2">
    <w:name w:val="newspic"/>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
    <w:name w:val="rightnew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4">
    <w:name w:val="titlefo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5">
    <w:name w:val="smooth-lf"/>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6">
    <w:name w:val="smoot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w98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8">
    <w:name w:val="smooth-box"/>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9">
    <w:name w:val="tipscontrol-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0">
    <w:name w:val="returntotop-bt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hj-easyread-icons"/>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dat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curren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xwsd"/>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5">
    <w:name w:val="gsg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
    <w:name w:val="hj-easyread-sider-btns-item"/>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7">
    <w:name w:val="navmenu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8">
    <w:name w:val="curre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9">
    <w:name w:val="search1"/>
    <w:basedOn w:val="1"/>
    <w:qFormat/>
    <w:uiPriority w:val="99"/>
    <w:pPr>
      <w:widowControl/>
      <w:spacing w:line="660" w:lineRule="atLeast"/>
      <w:jc w:val="left"/>
    </w:pPr>
    <w:rPr>
      <w:rFonts w:ascii="宋体" w:hAnsi="宋体" w:cs="宋体"/>
      <w:kern w:val="0"/>
      <w:sz w:val="24"/>
      <w:szCs w:val="24"/>
    </w:rPr>
  </w:style>
  <w:style w:type="paragraph" w:customStyle="1" w:styleId="100">
    <w:name w:val="lef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rightlin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2">
    <w:name w:val="newspic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3">
    <w:name w:val="rightnews1"/>
    <w:basedOn w:val="1"/>
    <w:qFormat/>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104">
    <w:name w:val="xwsd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5">
    <w:name w:val="gsgg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6">
    <w:name w:val="date1"/>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107">
    <w:name w:val="titlefont1"/>
    <w:basedOn w:val="1"/>
    <w:qFormat/>
    <w:uiPriority w:val="99"/>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108">
    <w:name w:val="smooth-lf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smooth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0">
    <w:name w:val="w9801"/>
    <w:basedOn w:val="1"/>
    <w:qFormat/>
    <w:uiPriority w:val="99"/>
    <w:pPr>
      <w:widowControl/>
      <w:jc w:val="left"/>
    </w:pPr>
    <w:rPr>
      <w:rFonts w:ascii="宋体" w:hAnsi="宋体" w:cs="宋体"/>
      <w:kern w:val="0"/>
      <w:sz w:val="24"/>
      <w:szCs w:val="24"/>
    </w:rPr>
  </w:style>
  <w:style w:type="paragraph" w:customStyle="1" w:styleId="111">
    <w:name w:val="smooth-box1"/>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112">
    <w:name w:val="hj-easyread-sider-btns-item1"/>
    <w:basedOn w:val="1"/>
    <w:qFormat/>
    <w:uiPriority w:val="99"/>
    <w:pPr>
      <w:widowControl/>
      <w:spacing w:before="100" w:beforeAutospacing="1" w:after="100" w:afterAutospacing="1"/>
      <w:jc w:val="left"/>
    </w:pPr>
    <w:rPr>
      <w:rFonts w:ascii="宋体" w:hAnsi="宋体" w:cs="宋体"/>
      <w:vanish/>
      <w:kern w:val="0"/>
      <w:sz w:val="24"/>
      <w:szCs w:val="24"/>
    </w:rPr>
  </w:style>
  <w:style w:type="paragraph" w:customStyle="1" w:styleId="113">
    <w:name w:val="tipscontrol-btn1"/>
    <w:basedOn w:val="1"/>
    <w:qFormat/>
    <w:uiPriority w:val="99"/>
    <w:pPr>
      <w:widowControl/>
      <w:spacing w:before="100" w:beforeAutospacing="1" w:after="135" w:line="17536" w:lineRule="exact"/>
      <w:jc w:val="left"/>
    </w:pPr>
    <w:rPr>
      <w:rFonts w:ascii="宋体" w:hAnsi="宋体" w:cs="宋体"/>
      <w:kern w:val="0"/>
      <w:sz w:val="2"/>
      <w:szCs w:val="2"/>
    </w:rPr>
  </w:style>
  <w:style w:type="paragraph" w:customStyle="1" w:styleId="114">
    <w:name w:val="returntotop-btn1"/>
    <w:basedOn w:val="1"/>
    <w:qFormat/>
    <w:uiPriority w:val="99"/>
    <w:pPr>
      <w:widowControl/>
      <w:spacing w:before="100" w:beforeAutospacing="1" w:after="100" w:afterAutospacing="1" w:line="17536" w:lineRule="exact"/>
      <w:jc w:val="left"/>
    </w:pPr>
    <w:rPr>
      <w:rFonts w:ascii="宋体" w:hAnsi="宋体" w:cs="宋体"/>
      <w:kern w:val="0"/>
      <w:sz w:val="2"/>
      <w:szCs w:val="2"/>
    </w:rPr>
  </w:style>
  <w:style w:type="paragraph" w:customStyle="1" w:styleId="115">
    <w:name w:val="hj-easyread-icons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6">
    <w:name w:val="List Paragraph"/>
    <w:basedOn w:val="1"/>
    <w:qFormat/>
    <w:uiPriority w:val="99"/>
    <w:pPr>
      <w:ind w:firstLine="420" w:firstLineChars="200"/>
    </w:pPr>
  </w:style>
  <w:style w:type="paragraph" w:customStyle="1" w:styleId="1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8">
    <w:name w:val="Heading 1 Char"/>
    <w:basedOn w:val="13"/>
    <w:link w:val="2"/>
    <w:qFormat/>
    <w:locked/>
    <w:uiPriority w:val="99"/>
    <w:rPr>
      <w:rFonts w:ascii="宋体" w:hAnsi="宋体" w:eastAsia="宋体" w:cs="宋体"/>
      <w:kern w:val="36"/>
      <w:sz w:val="48"/>
      <w:szCs w:val="48"/>
    </w:rPr>
  </w:style>
  <w:style w:type="character" w:customStyle="1" w:styleId="119">
    <w:name w:val="Heading 2 Char"/>
    <w:basedOn w:val="13"/>
    <w:link w:val="3"/>
    <w:qFormat/>
    <w:locked/>
    <w:uiPriority w:val="99"/>
    <w:rPr>
      <w:rFonts w:ascii="宋体" w:hAnsi="宋体" w:eastAsia="宋体" w:cs="宋体"/>
      <w:kern w:val="0"/>
      <w:sz w:val="36"/>
      <w:szCs w:val="36"/>
    </w:rPr>
  </w:style>
  <w:style w:type="character" w:customStyle="1" w:styleId="120">
    <w:name w:val="Heading 3 Char"/>
    <w:basedOn w:val="13"/>
    <w:link w:val="4"/>
    <w:qFormat/>
    <w:locked/>
    <w:uiPriority w:val="99"/>
    <w:rPr>
      <w:rFonts w:ascii="宋体" w:hAnsi="宋体" w:eastAsia="宋体" w:cs="宋体"/>
      <w:kern w:val="0"/>
      <w:sz w:val="27"/>
      <w:szCs w:val="27"/>
    </w:rPr>
  </w:style>
  <w:style w:type="character" w:customStyle="1" w:styleId="121">
    <w:name w:val="Heading 4 Char"/>
    <w:basedOn w:val="13"/>
    <w:link w:val="5"/>
    <w:qFormat/>
    <w:locked/>
    <w:uiPriority w:val="99"/>
    <w:rPr>
      <w:rFonts w:ascii="宋体" w:hAnsi="宋体" w:eastAsia="宋体" w:cs="宋体"/>
      <w:kern w:val="0"/>
      <w:sz w:val="24"/>
      <w:szCs w:val="24"/>
    </w:rPr>
  </w:style>
  <w:style w:type="character" w:customStyle="1" w:styleId="122">
    <w:name w:val="Heading 5 Char"/>
    <w:basedOn w:val="13"/>
    <w:link w:val="6"/>
    <w:qFormat/>
    <w:locked/>
    <w:uiPriority w:val="99"/>
    <w:rPr>
      <w:rFonts w:ascii="宋体" w:hAnsi="宋体" w:eastAsia="宋体" w:cs="宋体"/>
      <w:kern w:val="0"/>
      <w:sz w:val="20"/>
      <w:szCs w:val="20"/>
    </w:rPr>
  </w:style>
  <w:style w:type="character" w:customStyle="1" w:styleId="123">
    <w:name w:val="Heading 6 Char"/>
    <w:basedOn w:val="13"/>
    <w:link w:val="7"/>
    <w:qFormat/>
    <w:locked/>
    <w:uiPriority w:val="99"/>
    <w:rPr>
      <w:rFonts w:ascii="宋体" w:hAnsi="宋体" w:eastAsia="宋体" w:cs="宋体"/>
      <w:kern w:val="0"/>
      <w:sz w:val="15"/>
      <w:szCs w:val="15"/>
    </w:rPr>
  </w:style>
  <w:style w:type="character" w:customStyle="1" w:styleId="124">
    <w:name w:val="HTML Address Char"/>
    <w:basedOn w:val="13"/>
    <w:link w:val="8"/>
    <w:semiHidden/>
    <w:qFormat/>
    <w:locked/>
    <w:uiPriority w:val="99"/>
    <w:rPr>
      <w:rFonts w:ascii="宋体" w:hAnsi="宋体" w:eastAsia="宋体" w:cs="宋体"/>
      <w:kern w:val="0"/>
      <w:sz w:val="24"/>
      <w:szCs w:val="24"/>
    </w:rPr>
  </w:style>
  <w:style w:type="character" w:customStyle="1" w:styleId="125">
    <w:name w:val="hj-easyread-speakerprocesser-position-action-icon"/>
    <w:basedOn w:val="13"/>
    <w:qFormat/>
    <w:uiPriority w:val="99"/>
    <w:rPr>
      <w:rFonts w:cs="Times New Roman"/>
    </w:rPr>
  </w:style>
  <w:style w:type="character" w:customStyle="1" w:styleId="126">
    <w:name w:val="hj-easyread-speakerprocesser-position-action-icon1"/>
    <w:basedOn w:val="13"/>
    <w:qFormat/>
    <w:uiPriority w:val="99"/>
    <w:rPr>
      <w:rFonts w:cs="Times New Roman"/>
      <w:shd w:val="clear" w:color="auto" w:fill="auto"/>
    </w:rPr>
  </w:style>
  <w:style w:type="character" w:customStyle="1" w:styleId="127">
    <w:name w:val="Header Char"/>
    <w:basedOn w:val="13"/>
    <w:link w:val="10"/>
    <w:semiHidden/>
    <w:qFormat/>
    <w:locked/>
    <w:uiPriority w:val="99"/>
    <w:rPr>
      <w:rFonts w:cs="Times New Roman"/>
      <w:sz w:val="18"/>
      <w:szCs w:val="18"/>
    </w:rPr>
  </w:style>
  <w:style w:type="character" w:customStyle="1" w:styleId="128">
    <w:name w:val="Footer Char"/>
    <w:basedOn w:val="13"/>
    <w:link w:val="9"/>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13</Pages>
  <Words>843</Words>
  <Characters>4810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2015-10-07T02:35:00Z</dcterms:created>
  <dc:creator>ASUS</dc:creator>
  <cp:lastModifiedBy>Administrator</cp:lastModifiedBy>
  <cp:lastPrinted>2018-05-25T07:56:00Z</cp:lastPrinted>
  <dcterms:modified xsi:type="dcterms:W3CDTF">2021-08-31T07:22:01Z</dcterms:modified>
  <dc:title>2014年度常德市社会劳动保险处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