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b/>
          <w:color w:val="222222"/>
          <w:kern w:val="0"/>
          <w:sz w:val="44"/>
          <w:szCs w:val="44"/>
        </w:rPr>
      </w:pPr>
      <w:r>
        <w:rPr>
          <w:rFonts w:hint="eastAsia"/>
          <w:b/>
          <w:color w:val="222222"/>
          <w:kern w:val="0"/>
          <w:sz w:val="44"/>
          <w:szCs w:val="44"/>
          <w:lang w:val="en-US" w:eastAsia="zh-CN"/>
        </w:rPr>
        <w:t>2020年度</w:t>
      </w:r>
      <w:r>
        <w:rPr>
          <w:rFonts w:hint="eastAsia"/>
          <w:b/>
          <w:color w:val="222222"/>
          <w:kern w:val="0"/>
          <w:sz w:val="44"/>
          <w:szCs w:val="44"/>
        </w:rPr>
        <w:t>桃源县</w:t>
      </w:r>
      <w:r>
        <w:rPr>
          <w:rFonts w:hint="eastAsia"/>
          <w:b/>
          <w:color w:val="222222"/>
          <w:kern w:val="0"/>
          <w:sz w:val="44"/>
          <w:szCs w:val="44"/>
          <w:lang w:val="en-US" w:eastAsia="zh-CN"/>
        </w:rPr>
        <w:t xml:space="preserve">农机事务中心             </w:t>
      </w:r>
      <w:r>
        <w:rPr>
          <w:rFonts w:hint="eastAsia"/>
          <w:b/>
          <w:color w:val="222222"/>
          <w:kern w:val="0"/>
          <w:sz w:val="44"/>
          <w:szCs w:val="44"/>
          <w:lang w:eastAsia="zh-CN"/>
        </w:rPr>
        <w:t>部门</w:t>
      </w:r>
      <w:r>
        <w:rPr>
          <w:rFonts w:hint="eastAsia"/>
          <w:b/>
          <w:color w:val="222222"/>
          <w:kern w:val="0"/>
          <w:sz w:val="44"/>
          <w:szCs w:val="44"/>
        </w:rPr>
        <w:t>整体支出绩效评价报告</w:t>
      </w:r>
    </w:p>
    <w:p>
      <w:pPr>
        <w:widowControl/>
        <w:spacing w:line="560" w:lineRule="exact"/>
        <w:ind w:firstLine="640"/>
        <w:rPr>
          <w:rFonts w:eastAsia="仿宋_GB2312"/>
          <w:color w:val="222222"/>
          <w:kern w:val="0"/>
          <w:sz w:val="32"/>
          <w:szCs w:val="32"/>
        </w:rPr>
      </w:pPr>
    </w:p>
    <w:p>
      <w:pPr>
        <w:widowControl/>
        <w:spacing w:line="560" w:lineRule="exact"/>
        <w:ind w:firstLine="640"/>
        <w:rPr>
          <w:rFonts w:eastAsia="仿宋_GB2312"/>
          <w:color w:val="000000" w:themeColor="text1"/>
          <w:kern w:val="0"/>
          <w:sz w:val="32"/>
          <w:szCs w:val="32"/>
        </w:rPr>
      </w:pPr>
      <w:r>
        <w:rPr>
          <w:rFonts w:hint="eastAsia" w:ascii="仿宋" w:hAnsi="仿宋" w:eastAsia="仿宋" w:cs="仿宋"/>
          <w:color w:val="000000" w:themeColor="text1"/>
          <w:sz w:val="32"/>
          <w:szCs w:val="32"/>
        </w:rPr>
        <w:t>为强化财政支出资金管理，提高财政专项资金使用效益，根据《桃源县财政局关于对20</w:t>
      </w:r>
      <w:r>
        <w:rPr>
          <w:rFonts w:hint="eastAsia" w:ascii="仿宋" w:hAnsi="仿宋" w:eastAsia="仿宋" w:cs="仿宋"/>
          <w:color w:val="000000" w:themeColor="text1"/>
          <w:sz w:val="32"/>
          <w:szCs w:val="32"/>
          <w:lang w:val="en-US" w:eastAsia="zh-CN"/>
        </w:rPr>
        <w:t>20</w:t>
      </w:r>
      <w:r>
        <w:rPr>
          <w:rFonts w:hint="eastAsia" w:ascii="仿宋" w:hAnsi="仿宋" w:eastAsia="仿宋" w:cs="仿宋"/>
          <w:color w:val="000000" w:themeColor="text1"/>
          <w:sz w:val="32"/>
          <w:szCs w:val="32"/>
        </w:rPr>
        <w:t>年度本级财政安排的预算资金展开绩效自评的通知》（桃财函〔20</w:t>
      </w:r>
      <w:r>
        <w:rPr>
          <w:rFonts w:hint="eastAsia" w:ascii="仿宋" w:hAnsi="仿宋" w:eastAsia="仿宋" w:cs="仿宋"/>
          <w:color w:val="000000" w:themeColor="text1"/>
          <w:sz w:val="32"/>
          <w:szCs w:val="32"/>
          <w:lang w:val="en-US" w:eastAsia="zh-CN"/>
        </w:rPr>
        <w:t>21</w:t>
      </w:r>
      <w:r>
        <w:rPr>
          <w:rFonts w:hint="eastAsia" w:ascii="仿宋" w:hAnsi="仿宋" w:eastAsia="仿宋" w:cs="仿宋"/>
          <w:color w:val="000000" w:themeColor="text1"/>
          <w:sz w:val="32"/>
          <w:szCs w:val="32"/>
        </w:rPr>
        <w:t>〕</w:t>
      </w:r>
      <w:r>
        <w:rPr>
          <w:rFonts w:hint="eastAsia" w:ascii="仿宋" w:hAnsi="仿宋" w:eastAsia="仿宋" w:cs="仿宋"/>
          <w:color w:val="000000" w:themeColor="text1"/>
          <w:sz w:val="32"/>
          <w:szCs w:val="32"/>
          <w:lang w:val="en-US" w:eastAsia="zh-CN"/>
        </w:rPr>
        <w:t>5</w:t>
      </w:r>
      <w:r>
        <w:rPr>
          <w:rFonts w:hint="eastAsia" w:ascii="仿宋" w:hAnsi="仿宋" w:eastAsia="仿宋" w:cs="仿宋"/>
          <w:color w:val="000000" w:themeColor="text1"/>
          <w:sz w:val="32"/>
          <w:szCs w:val="32"/>
        </w:rPr>
        <w:t>号）预算绩效工作安排，我们对20</w:t>
      </w:r>
      <w:r>
        <w:rPr>
          <w:rFonts w:hint="eastAsia" w:ascii="仿宋" w:hAnsi="仿宋" w:eastAsia="仿宋" w:cs="仿宋"/>
          <w:color w:val="000000" w:themeColor="text1"/>
          <w:sz w:val="32"/>
          <w:szCs w:val="32"/>
          <w:lang w:val="en-US" w:eastAsia="zh-CN"/>
        </w:rPr>
        <w:t>20</w:t>
      </w:r>
      <w:r>
        <w:rPr>
          <w:rFonts w:hint="eastAsia" w:ascii="仿宋" w:hAnsi="仿宋" w:eastAsia="仿宋" w:cs="仿宋"/>
          <w:color w:val="000000" w:themeColor="text1"/>
          <w:sz w:val="32"/>
          <w:szCs w:val="32"/>
        </w:rPr>
        <w:t>年度</w:t>
      </w:r>
      <w:r>
        <w:rPr>
          <w:rFonts w:hint="eastAsia" w:ascii="仿宋" w:hAnsi="仿宋" w:eastAsia="仿宋" w:cs="仿宋"/>
          <w:color w:val="000000" w:themeColor="text1"/>
          <w:sz w:val="32"/>
          <w:szCs w:val="32"/>
          <w:lang w:eastAsia="zh-CN"/>
        </w:rPr>
        <w:t>桃源县</w:t>
      </w:r>
      <w:r>
        <w:rPr>
          <w:rFonts w:hint="eastAsia" w:ascii="仿宋" w:hAnsi="仿宋" w:eastAsia="仿宋" w:cs="仿宋"/>
          <w:color w:val="000000" w:themeColor="text1"/>
          <w:sz w:val="32"/>
          <w:szCs w:val="32"/>
          <w:lang w:val="en-US" w:eastAsia="zh-CN"/>
        </w:rPr>
        <w:t>农机事务中心</w:t>
      </w:r>
      <w:r>
        <w:rPr>
          <w:rFonts w:hint="eastAsia" w:ascii="仿宋" w:hAnsi="仿宋" w:eastAsia="仿宋" w:cs="仿宋"/>
          <w:color w:val="000000" w:themeColor="text1"/>
          <w:sz w:val="32"/>
          <w:szCs w:val="32"/>
          <w:lang w:eastAsia="zh-CN"/>
        </w:rPr>
        <w:t>部门整体支出</w:t>
      </w:r>
      <w:r>
        <w:rPr>
          <w:rFonts w:hint="eastAsia" w:ascii="仿宋" w:hAnsi="仿宋" w:eastAsia="仿宋" w:cs="仿宋"/>
          <w:color w:val="000000" w:themeColor="text1"/>
          <w:sz w:val="32"/>
          <w:szCs w:val="32"/>
        </w:rPr>
        <w:t>进行了绩效评价，形成本报告。</w:t>
      </w:r>
    </w:p>
    <w:p>
      <w:pPr>
        <w:widowControl/>
        <w:spacing w:line="600" w:lineRule="exact"/>
        <w:ind w:firstLine="640" w:firstLineChars="200"/>
        <w:rPr>
          <w:rFonts w:hint="eastAsia" w:ascii="黑体" w:eastAsia="黑体"/>
          <w:color w:val="222222"/>
          <w:kern w:val="0"/>
          <w:sz w:val="32"/>
          <w:szCs w:val="32"/>
        </w:rPr>
      </w:pPr>
      <w:r>
        <w:rPr>
          <w:rFonts w:hint="eastAsia" w:ascii="黑体" w:eastAsia="黑体"/>
          <w:color w:val="222222"/>
          <w:kern w:val="0"/>
          <w:sz w:val="32"/>
          <w:szCs w:val="32"/>
        </w:rPr>
        <w:t>一、部门概况</w:t>
      </w:r>
    </w:p>
    <w:p>
      <w:pPr>
        <w:adjustRightInd w:val="0"/>
        <w:snapToGrid w:val="0"/>
        <w:spacing w:line="600" w:lineRule="exact"/>
        <w:ind w:firstLine="640" w:firstLineChars="200"/>
        <w:rPr>
          <w:rFonts w:ascii="仿宋" w:hAnsi="仿宋" w:eastAsia="仿宋"/>
          <w:sz w:val="32"/>
          <w:szCs w:val="32"/>
        </w:rPr>
      </w:pPr>
      <w:r>
        <w:rPr>
          <w:rFonts w:ascii="仿宋" w:hAnsi="仿宋" w:eastAsia="仿宋"/>
          <w:sz w:val="32"/>
          <w:szCs w:val="32"/>
        </w:rPr>
        <w:t>（一）单位基本情况。</w:t>
      </w:r>
    </w:p>
    <w:p>
      <w:pPr>
        <w:adjustRightInd w:val="0"/>
        <w:snapToGrid w:val="0"/>
        <w:spacing w:line="600" w:lineRule="exact"/>
        <w:ind w:firstLine="664" w:firstLineChars="200"/>
        <w:rPr>
          <w:rFonts w:hint="eastAsia" w:ascii="仿宋" w:hAnsi="仿宋" w:eastAsia="仿宋" w:cs="仿宋"/>
          <w:spacing w:val="6"/>
          <w:sz w:val="32"/>
          <w:szCs w:val="32"/>
          <w:lang w:eastAsia="zh-CN"/>
        </w:rPr>
      </w:pPr>
      <w:r>
        <w:rPr>
          <w:rFonts w:hint="eastAsia" w:ascii="仿宋" w:hAnsi="仿宋" w:eastAsia="仿宋" w:cs="仿宋"/>
          <w:spacing w:val="6"/>
          <w:sz w:val="32"/>
          <w:szCs w:val="32"/>
          <w:lang w:eastAsia="zh-CN"/>
        </w:rPr>
        <w:t>桃源县</w:t>
      </w:r>
      <w:r>
        <w:rPr>
          <w:rFonts w:hint="eastAsia" w:ascii="仿宋" w:hAnsi="仿宋" w:eastAsia="仿宋" w:cs="仿宋"/>
          <w:spacing w:val="6"/>
          <w:sz w:val="32"/>
          <w:szCs w:val="32"/>
          <w:lang w:val="en-US" w:eastAsia="zh-CN"/>
        </w:rPr>
        <w:t>农机事务中心</w:t>
      </w:r>
      <w:r>
        <w:rPr>
          <w:rFonts w:hint="eastAsia" w:ascii="仿宋" w:hAnsi="仿宋" w:eastAsia="仿宋" w:cs="仿宋"/>
          <w:spacing w:val="6"/>
          <w:sz w:val="32"/>
          <w:szCs w:val="32"/>
          <w:lang w:eastAsia="zh-CN"/>
        </w:rPr>
        <w:t>是</w:t>
      </w:r>
      <w:r>
        <w:rPr>
          <w:rFonts w:hint="eastAsia" w:ascii="仿宋" w:hAnsi="仿宋" w:eastAsia="仿宋" w:cs="仿宋"/>
          <w:spacing w:val="6"/>
          <w:sz w:val="32"/>
          <w:szCs w:val="32"/>
          <w:lang w:val="en-US" w:eastAsia="zh-CN"/>
        </w:rPr>
        <w:t>县农业农村局所属</w:t>
      </w:r>
      <w:r>
        <w:rPr>
          <w:rFonts w:hint="eastAsia" w:ascii="仿宋" w:hAnsi="仿宋" w:eastAsia="仿宋" w:cs="仿宋"/>
          <w:spacing w:val="6"/>
          <w:sz w:val="32"/>
          <w:szCs w:val="32"/>
          <w:lang w:eastAsia="zh-CN"/>
        </w:rPr>
        <w:t>正科级</w:t>
      </w:r>
      <w:r>
        <w:rPr>
          <w:rFonts w:hint="eastAsia" w:ascii="仿宋" w:hAnsi="仿宋" w:eastAsia="仿宋" w:cs="仿宋"/>
          <w:spacing w:val="6"/>
          <w:sz w:val="32"/>
          <w:szCs w:val="32"/>
          <w:lang w:val="en-US" w:eastAsia="zh-CN"/>
        </w:rPr>
        <w:t>公益类</w:t>
      </w:r>
      <w:r>
        <w:rPr>
          <w:rFonts w:hint="eastAsia" w:ascii="仿宋" w:hAnsi="仿宋" w:eastAsia="仿宋" w:cs="仿宋"/>
          <w:spacing w:val="6"/>
          <w:sz w:val="32"/>
          <w:szCs w:val="32"/>
          <w:lang w:eastAsia="zh-CN"/>
        </w:rPr>
        <w:t>事业单位。</w:t>
      </w:r>
      <w:r>
        <w:rPr>
          <w:rFonts w:hint="eastAsia" w:ascii="仿宋" w:hAnsi="仿宋" w:eastAsia="仿宋" w:cs="仿宋"/>
          <w:spacing w:val="6"/>
          <w:sz w:val="32"/>
          <w:szCs w:val="32"/>
          <w:lang w:val="en-US" w:eastAsia="zh-CN"/>
        </w:rPr>
        <w:t>全</w:t>
      </w:r>
      <w:r>
        <w:rPr>
          <w:rFonts w:hint="eastAsia" w:ascii="仿宋" w:hAnsi="仿宋" w:eastAsia="仿宋" w:cs="仿宋"/>
          <w:spacing w:val="6"/>
          <w:sz w:val="32"/>
          <w:szCs w:val="32"/>
          <w:lang w:eastAsia="zh-CN"/>
        </w:rPr>
        <w:t>局核定编制</w:t>
      </w:r>
      <w:r>
        <w:rPr>
          <w:rFonts w:hint="eastAsia" w:ascii="仿宋" w:hAnsi="仿宋" w:eastAsia="仿宋" w:cs="仿宋"/>
          <w:spacing w:val="6"/>
          <w:sz w:val="32"/>
          <w:szCs w:val="32"/>
          <w:lang w:val="en-US" w:eastAsia="zh-CN"/>
        </w:rPr>
        <w:t>57人。现有在职人员 54人，离退休人员 1人。内设6个股室：办公室、组织人事股、计划财务股、科技教育股（农机购置补贴股）、基层管理股、农机安全监理股（农机安全监理站、农机行政许可办公室）。管理独立核算的二级事业单位3个：县农业机械化技术推广站、县农业机械化学校、县农业机械化技术检测站。</w:t>
      </w:r>
    </w:p>
    <w:p>
      <w:pPr>
        <w:widowControl/>
        <w:numPr>
          <w:ilvl w:val="0"/>
          <w:numId w:val="0"/>
        </w:numPr>
        <w:spacing w:line="600" w:lineRule="exact"/>
        <w:ind w:firstLine="640" w:firstLineChars="200"/>
        <w:rPr>
          <w:rFonts w:hint="eastAsia" w:ascii="仿宋_GB2312" w:eastAsia="仿宋_GB2312"/>
          <w:color w:val="222222"/>
          <w:kern w:val="0"/>
          <w:sz w:val="32"/>
          <w:szCs w:val="32"/>
        </w:rPr>
      </w:pPr>
      <w:r>
        <w:rPr>
          <w:rFonts w:hint="eastAsia" w:ascii="仿宋_GB2312" w:eastAsia="仿宋_GB2312"/>
          <w:color w:val="222222"/>
          <w:kern w:val="0"/>
          <w:sz w:val="32"/>
          <w:szCs w:val="32"/>
          <w:lang w:eastAsia="zh-CN"/>
        </w:rPr>
        <w:t>（二）</w:t>
      </w:r>
      <w:r>
        <w:rPr>
          <w:rFonts w:hint="eastAsia" w:ascii="仿宋_GB2312" w:eastAsia="仿宋_GB2312"/>
          <w:color w:val="222222"/>
          <w:kern w:val="0"/>
          <w:sz w:val="32"/>
          <w:szCs w:val="32"/>
        </w:rPr>
        <w:t>单位主要职责</w:t>
      </w:r>
    </w:p>
    <w:p>
      <w:pPr>
        <w:widowControl/>
        <w:numPr>
          <w:ilvl w:val="0"/>
          <w:numId w:val="0"/>
        </w:numPr>
        <w:spacing w:line="600" w:lineRule="exact"/>
        <w:ind w:firstLine="640" w:firstLineChars="200"/>
        <w:rPr>
          <w:rFonts w:hint="eastAsia" w:ascii="仿宋_GB2312" w:eastAsia="仿宋_GB2312"/>
          <w:color w:val="222222"/>
          <w:kern w:val="0"/>
          <w:sz w:val="32"/>
          <w:szCs w:val="32"/>
        </w:rPr>
      </w:pPr>
      <w:r>
        <w:rPr>
          <w:rFonts w:hint="eastAsia" w:ascii="仿宋_GB2312" w:eastAsia="仿宋_GB2312"/>
          <w:color w:val="222222"/>
          <w:kern w:val="0"/>
          <w:sz w:val="32"/>
          <w:szCs w:val="32"/>
        </w:rPr>
        <w:t>研究提出全县农业机械化发展方向、发展战略、中长期发展规划及重大技术措施建议，并批准后组织实施。研究拟定有关农业机械安全生产、作业规范、技术标准和监督管理的规范性文件，并具体组织实施。指导全县农业机械服务体系建设和农业机械信息网络建设，研究拟定农业机械基层服务组织服务规范，负责组织农业机械投入抗灾救灾工作。根据国家、省、市农业机械化产业政策，研究提出全县农业机械化产业政策建议，引导农业机械化产业结构调整，提高农业机械化普及和应用水平。研究拟定农业机械化科技、教育发展规划和年度实施计划，指导农业机械行业职业技能开发。组织实施拖拉机、联合收割机、农用运输车等农业机械的安全监理、产品质量检验、鉴定、认证管理。研究提出发展农业机械化事业的各项资金计划，负责农业机械化各类经济指标的统计工作。</w:t>
      </w:r>
    </w:p>
    <w:p>
      <w:pPr>
        <w:widowControl/>
        <w:spacing w:line="600" w:lineRule="exact"/>
        <w:ind w:firstLine="640" w:firstLineChars="200"/>
        <w:rPr>
          <w:rFonts w:hint="eastAsia" w:ascii="仿宋_GB2312" w:eastAsia="仿宋_GB2312"/>
          <w:color w:val="222222"/>
          <w:kern w:val="0"/>
          <w:sz w:val="32"/>
          <w:szCs w:val="32"/>
        </w:rPr>
      </w:pPr>
      <w:r>
        <w:rPr>
          <w:rFonts w:hint="eastAsia" w:ascii="黑体" w:eastAsia="黑体"/>
          <w:color w:val="222222"/>
          <w:kern w:val="0"/>
          <w:sz w:val="32"/>
          <w:szCs w:val="32"/>
        </w:rPr>
        <w:t>二、部门财务情况</w:t>
      </w:r>
    </w:p>
    <w:p>
      <w:pPr>
        <w:widowControl/>
        <w:spacing w:line="600" w:lineRule="exact"/>
        <w:ind w:firstLine="640" w:firstLineChars="200"/>
        <w:rPr>
          <w:rFonts w:hint="eastAsia" w:ascii="仿宋_GB2312" w:eastAsia="仿宋_GB2312"/>
          <w:color w:val="222222"/>
          <w:kern w:val="0"/>
          <w:sz w:val="32"/>
          <w:szCs w:val="32"/>
        </w:rPr>
      </w:pPr>
      <w:r>
        <w:rPr>
          <w:rFonts w:hint="eastAsia" w:ascii="仿宋_GB2312" w:eastAsia="仿宋_GB2312"/>
          <w:color w:val="222222"/>
          <w:kern w:val="0"/>
          <w:sz w:val="32"/>
          <w:szCs w:val="32"/>
        </w:rPr>
        <w:t>（一）部门整体支出情况：资金总额：</w:t>
      </w:r>
      <w:r>
        <w:rPr>
          <w:rFonts w:hint="eastAsia" w:ascii="仿宋_GB2312" w:eastAsia="仿宋_GB2312"/>
          <w:color w:val="222222"/>
          <w:kern w:val="0"/>
          <w:sz w:val="32"/>
          <w:szCs w:val="32"/>
          <w:lang w:val="en-US" w:eastAsia="zh-CN"/>
        </w:rPr>
        <w:t>3041.81</w:t>
      </w:r>
      <w:r>
        <w:rPr>
          <w:rFonts w:hint="eastAsia" w:ascii="仿宋_GB2312" w:eastAsia="仿宋_GB2312"/>
          <w:color w:val="222222"/>
          <w:kern w:val="0"/>
          <w:sz w:val="32"/>
          <w:szCs w:val="32"/>
        </w:rPr>
        <w:t>万元</w:t>
      </w:r>
    </w:p>
    <w:p>
      <w:pPr>
        <w:widowControl/>
        <w:spacing w:line="600" w:lineRule="exact"/>
        <w:ind w:firstLine="640" w:firstLineChars="200"/>
        <w:rPr>
          <w:rFonts w:hint="eastAsia" w:ascii="仿宋_GB2312" w:eastAsia="仿宋_GB2312"/>
          <w:color w:val="222222"/>
          <w:kern w:val="0"/>
          <w:sz w:val="32"/>
          <w:szCs w:val="32"/>
        </w:rPr>
      </w:pPr>
      <w:r>
        <w:rPr>
          <w:rFonts w:hint="eastAsia" w:ascii="仿宋_GB2312" w:eastAsia="仿宋_GB2312"/>
          <w:color w:val="222222"/>
          <w:kern w:val="0"/>
          <w:sz w:val="32"/>
          <w:szCs w:val="32"/>
        </w:rPr>
        <w:t>公共财政拨款：</w:t>
      </w:r>
      <w:r>
        <w:rPr>
          <w:rFonts w:hint="eastAsia" w:ascii="仿宋_GB2312" w:eastAsia="仿宋_GB2312"/>
          <w:color w:val="222222"/>
          <w:kern w:val="0"/>
          <w:sz w:val="32"/>
          <w:szCs w:val="32"/>
          <w:lang w:val="en-US" w:eastAsia="zh-CN"/>
        </w:rPr>
        <w:t>3041.81</w:t>
      </w:r>
      <w:r>
        <w:rPr>
          <w:rFonts w:hint="eastAsia" w:ascii="仿宋_GB2312" w:eastAsia="仿宋_GB2312"/>
          <w:color w:val="222222"/>
          <w:kern w:val="0"/>
          <w:sz w:val="32"/>
          <w:szCs w:val="32"/>
        </w:rPr>
        <w:t>万元。</w:t>
      </w:r>
      <w:r>
        <w:rPr>
          <w:rFonts w:hint="eastAsia" w:ascii="仿宋_GB2312" w:eastAsia="仿宋_GB2312"/>
          <w:color w:val="222222"/>
          <w:kern w:val="0"/>
          <w:sz w:val="32"/>
          <w:szCs w:val="32"/>
        </w:rPr>
        <w:tab/>
      </w:r>
      <w:r>
        <w:rPr>
          <w:rFonts w:hint="eastAsia" w:ascii="仿宋_GB2312" w:eastAsia="仿宋_GB2312"/>
          <w:color w:val="222222"/>
          <w:kern w:val="0"/>
          <w:sz w:val="32"/>
          <w:szCs w:val="32"/>
        </w:rPr>
        <w:t>其中：基本支出</w:t>
      </w:r>
      <w:r>
        <w:rPr>
          <w:rFonts w:hint="eastAsia" w:ascii="仿宋_GB2312" w:eastAsia="仿宋_GB2312"/>
          <w:color w:val="222222"/>
          <w:kern w:val="0"/>
          <w:sz w:val="32"/>
          <w:szCs w:val="32"/>
          <w:lang w:val="en-US" w:eastAsia="zh-CN"/>
        </w:rPr>
        <w:t>745.07</w:t>
      </w:r>
      <w:r>
        <w:rPr>
          <w:rFonts w:hint="eastAsia" w:ascii="仿宋_GB2312" w:eastAsia="仿宋_GB2312"/>
          <w:color w:val="222222"/>
          <w:kern w:val="0"/>
          <w:sz w:val="32"/>
          <w:szCs w:val="32"/>
        </w:rPr>
        <w:t>万元</w:t>
      </w:r>
      <w:r>
        <w:rPr>
          <w:rFonts w:hint="eastAsia" w:ascii="仿宋_GB2312" w:eastAsia="仿宋_GB2312"/>
          <w:color w:val="222222"/>
          <w:kern w:val="0"/>
          <w:sz w:val="32"/>
          <w:szCs w:val="32"/>
          <w:lang w:eastAsia="zh-CN"/>
        </w:rPr>
        <w:t>（含事业单位医疗</w:t>
      </w:r>
      <w:r>
        <w:rPr>
          <w:rFonts w:hint="eastAsia" w:ascii="仿宋_GB2312" w:eastAsia="仿宋_GB2312"/>
          <w:color w:val="222222"/>
          <w:kern w:val="0"/>
          <w:sz w:val="32"/>
          <w:szCs w:val="32"/>
          <w:lang w:val="en-US" w:eastAsia="zh-CN"/>
        </w:rPr>
        <w:t>21.44万元；公共行政运行1.15万元；农业行政运行540.38万元；社会保险费56.08；信访事务5；一般行政管理事务0.75；其他共产党事务支出0.41；事业单位离退休3.04；科技转行与推广服务347.44；农业生产发展1949.3；其他农业农村支出86；事业运行0.1万元；住房公积金30.72万元）</w:t>
      </w:r>
      <w:r>
        <w:rPr>
          <w:rFonts w:hint="eastAsia" w:ascii="仿宋_GB2312" w:eastAsia="仿宋_GB2312"/>
          <w:color w:val="222222"/>
          <w:kern w:val="0"/>
          <w:sz w:val="32"/>
          <w:szCs w:val="32"/>
        </w:rPr>
        <w:t>，项目支出</w:t>
      </w:r>
      <w:r>
        <w:rPr>
          <w:rFonts w:hint="eastAsia" w:ascii="仿宋_GB2312" w:eastAsia="仿宋_GB2312"/>
          <w:color w:val="222222"/>
          <w:kern w:val="0"/>
          <w:sz w:val="32"/>
          <w:szCs w:val="32"/>
          <w:lang w:val="en-US" w:eastAsia="zh-CN"/>
        </w:rPr>
        <w:t>2296.74</w:t>
      </w:r>
      <w:r>
        <w:rPr>
          <w:rFonts w:hint="eastAsia" w:ascii="仿宋_GB2312" w:eastAsia="仿宋_GB2312"/>
          <w:color w:val="222222"/>
          <w:kern w:val="0"/>
          <w:sz w:val="32"/>
          <w:szCs w:val="32"/>
        </w:rPr>
        <w:t>万元。</w:t>
      </w:r>
    </w:p>
    <w:p>
      <w:pPr>
        <w:widowControl/>
        <w:numPr>
          <w:ilvl w:val="0"/>
          <w:numId w:val="1"/>
        </w:numPr>
        <w:spacing w:line="600" w:lineRule="exact"/>
        <w:ind w:firstLine="640" w:firstLineChars="200"/>
        <w:rPr>
          <w:rFonts w:hint="eastAsia" w:ascii="仿宋_GB2312" w:eastAsia="仿宋_GB2312"/>
          <w:color w:val="222222"/>
          <w:kern w:val="0"/>
          <w:sz w:val="32"/>
          <w:szCs w:val="32"/>
        </w:rPr>
      </w:pPr>
      <w:r>
        <w:rPr>
          <w:rFonts w:hint="eastAsia" w:ascii="仿宋_GB2312" w:eastAsia="仿宋_GB2312"/>
          <w:color w:val="222222"/>
          <w:kern w:val="0"/>
          <w:sz w:val="32"/>
          <w:szCs w:val="32"/>
        </w:rPr>
        <w:t xml:space="preserve">部门预算收支决算情况 </w:t>
      </w:r>
    </w:p>
    <w:p>
      <w:pPr>
        <w:widowControl/>
        <w:spacing w:line="600" w:lineRule="exact"/>
        <w:rPr>
          <w:rFonts w:hint="eastAsia" w:ascii="仿宋_GB2312" w:eastAsia="仿宋_GB2312"/>
          <w:color w:val="222222"/>
          <w:kern w:val="0"/>
          <w:sz w:val="32"/>
          <w:szCs w:val="32"/>
        </w:rPr>
      </w:pPr>
      <w:r>
        <w:rPr>
          <w:rFonts w:hint="eastAsia" w:ascii="仿宋_GB2312" w:eastAsia="仿宋_GB2312"/>
          <w:color w:val="222222"/>
          <w:kern w:val="0"/>
          <w:sz w:val="32"/>
          <w:szCs w:val="32"/>
        </w:rPr>
        <w:t xml:space="preserve">     公共财政拨款：</w:t>
      </w:r>
      <w:r>
        <w:rPr>
          <w:rFonts w:hint="eastAsia" w:ascii="仿宋_GB2312" w:eastAsia="仿宋_GB2312"/>
          <w:color w:val="222222"/>
          <w:kern w:val="0"/>
          <w:sz w:val="32"/>
          <w:szCs w:val="32"/>
          <w:lang w:val="en-US" w:eastAsia="zh-CN"/>
        </w:rPr>
        <w:t>3041.81</w:t>
      </w:r>
      <w:r>
        <w:rPr>
          <w:rFonts w:hint="eastAsia" w:ascii="仿宋_GB2312" w:eastAsia="仿宋_GB2312"/>
          <w:color w:val="222222"/>
          <w:kern w:val="0"/>
          <w:sz w:val="32"/>
          <w:szCs w:val="32"/>
        </w:rPr>
        <w:t>万元。基本支出</w:t>
      </w:r>
      <w:r>
        <w:rPr>
          <w:rFonts w:hint="eastAsia" w:ascii="仿宋_GB2312" w:eastAsia="仿宋_GB2312"/>
          <w:color w:val="222222"/>
          <w:kern w:val="0"/>
          <w:sz w:val="32"/>
          <w:szCs w:val="32"/>
          <w:lang w:val="en-US" w:eastAsia="zh-CN"/>
        </w:rPr>
        <w:t>745.07</w:t>
      </w:r>
      <w:r>
        <w:rPr>
          <w:rFonts w:hint="eastAsia" w:ascii="仿宋_GB2312" w:eastAsia="仿宋_GB2312"/>
          <w:color w:val="222222"/>
          <w:kern w:val="0"/>
          <w:sz w:val="32"/>
          <w:szCs w:val="32"/>
        </w:rPr>
        <w:t>万元（基本工资福利支出</w:t>
      </w:r>
      <w:r>
        <w:rPr>
          <w:rFonts w:hint="eastAsia" w:ascii="仿宋_GB2312" w:eastAsia="仿宋_GB2312"/>
          <w:color w:val="222222"/>
          <w:kern w:val="0"/>
          <w:sz w:val="32"/>
          <w:szCs w:val="32"/>
          <w:lang w:val="en-US" w:eastAsia="zh-CN"/>
        </w:rPr>
        <w:t>625.83</w:t>
      </w:r>
      <w:r>
        <w:rPr>
          <w:rFonts w:hint="eastAsia" w:ascii="仿宋_GB2312" w:eastAsia="仿宋_GB2312"/>
          <w:color w:val="222222"/>
          <w:kern w:val="0"/>
          <w:sz w:val="32"/>
          <w:szCs w:val="32"/>
        </w:rPr>
        <w:t>万元，商品服务支出</w:t>
      </w:r>
      <w:r>
        <w:rPr>
          <w:rFonts w:hint="eastAsia" w:ascii="仿宋_GB2312" w:eastAsia="仿宋_GB2312"/>
          <w:color w:val="222222"/>
          <w:kern w:val="0"/>
          <w:sz w:val="32"/>
          <w:szCs w:val="32"/>
          <w:lang w:val="en-US" w:eastAsia="zh-CN"/>
        </w:rPr>
        <w:t>119.24</w:t>
      </w:r>
      <w:r>
        <w:rPr>
          <w:rFonts w:hint="eastAsia" w:ascii="仿宋_GB2312" w:eastAsia="仿宋_GB2312"/>
          <w:color w:val="222222"/>
          <w:kern w:val="0"/>
          <w:sz w:val="32"/>
          <w:szCs w:val="32"/>
        </w:rPr>
        <w:t>万元），</w:t>
      </w:r>
      <w:r>
        <w:rPr>
          <w:rFonts w:hint="eastAsia" w:ascii="仿宋_GB2312" w:eastAsia="仿宋_GB2312"/>
          <w:color w:val="222222"/>
          <w:kern w:val="0"/>
          <w:sz w:val="32"/>
          <w:szCs w:val="32"/>
          <w:lang w:eastAsia="zh-CN"/>
        </w:rPr>
        <w:t>项目支出</w:t>
      </w:r>
      <w:r>
        <w:rPr>
          <w:rFonts w:hint="eastAsia" w:ascii="仿宋_GB2312" w:eastAsia="仿宋_GB2312"/>
          <w:color w:val="222222"/>
          <w:kern w:val="0"/>
          <w:sz w:val="32"/>
          <w:szCs w:val="32"/>
          <w:lang w:val="en-US" w:eastAsia="zh-CN"/>
        </w:rPr>
        <w:t>2296.74万元，</w:t>
      </w:r>
      <w:r>
        <w:rPr>
          <w:rFonts w:hint="eastAsia" w:ascii="仿宋_GB2312" w:eastAsia="仿宋_GB2312"/>
          <w:color w:val="222222"/>
          <w:kern w:val="0"/>
          <w:sz w:val="32"/>
          <w:szCs w:val="32"/>
        </w:rPr>
        <w:t xml:space="preserve">年度收支平衡。       </w:t>
      </w:r>
    </w:p>
    <w:p>
      <w:pPr>
        <w:widowControl/>
        <w:spacing w:line="600" w:lineRule="exact"/>
        <w:ind w:firstLine="640" w:firstLineChars="200"/>
        <w:rPr>
          <w:rFonts w:hint="eastAsia" w:ascii="仿宋_GB2312" w:eastAsia="仿宋_GB2312"/>
          <w:color w:val="222222"/>
          <w:kern w:val="0"/>
          <w:sz w:val="32"/>
          <w:szCs w:val="32"/>
        </w:rPr>
      </w:pPr>
      <w:r>
        <w:rPr>
          <w:rFonts w:hint="eastAsia" w:ascii="仿宋_GB2312" w:eastAsia="仿宋_GB2312"/>
          <w:color w:val="222222"/>
          <w:kern w:val="0"/>
          <w:sz w:val="32"/>
          <w:szCs w:val="32"/>
        </w:rPr>
        <w:t>（三）“三公经费”使用情况</w:t>
      </w:r>
    </w:p>
    <w:p>
      <w:pPr>
        <w:widowControl/>
        <w:spacing w:line="600" w:lineRule="exact"/>
        <w:ind w:firstLine="640" w:firstLineChars="200"/>
        <w:rPr>
          <w:rFonts w:hint="eastAsia" w:ascii="仿宋_GB2312" w:eastAsia="仿宋_GB2312"/>
          <w:color w:val="222222"/>
          <w:kern w:val="0"/>
          <w:sz w:val="32"/>
          <w:szCs w:val="32"/>
          <w:lang w:eastAsia="zh-CN"/>
        </w:rPr>
      </w:pPr>
      <w:r>
        <w:rPr>
          <w:rFonts w:hint="eastAsia" w:ascii="仿宋_GB2312" w:eastAsia="仿宋_GB2312"/>
          <w:color w:val="222222"/>
          <w:kern w:val="0"/>
          <w:sz w:val="32"/>
          <w:szCs w:val="32"/>
        </w:rPr>
        <w:t xml:space="preserve"> 20</w:t>
      </w:r>
      <w:r>
        <w:rPr>
          <w:rFonts w:hint="eastAsia" w:ascii="仿宋_GB2312" w:eastAsia="仿宋_GB2312"/>
          <w:color w:val="222222"/>
          <w:kern w:val="0"/>
          <w:sz w:val="32"/>
          <w:szCs w:val="32"/>
          <w:lang w:val="en-US" w:eastAsia="zh-CN"/>
        </w:rPr>
        <w:t>20</w:t>
      </w:r>
      <w:r>
        <w:rPr>
          <w:rFonts w:hint="eastAsia" w:ascii="仿宋_GB2312" w:eastAsia="仿宋_GB2312"/>
          <w:color w:val="222222"/>
          <w:kern w:val="0"/>
          <w:sz w:val="32"/>
          <w:szCs w:val="32"/>
        </w:rPr>
        <w:t>年三公经费支出为</w:t>
      </w:r>
      <w:r>
        <w:rPr>
          <w:rFonts w:hint="eastAsia" w:ascii="仿宋_GB2312" w:eastAsia="仿宋_GB2312"/>
          <w:color w:val="222222"/>
          <w:kern w:val="0"/>
          <w:sz w:val="32"/>
          <w:szCs w:val="32"/>
          <w:lang w:val="en-US" w:eastAsia="zh-CN"/>
        </w:rPr>
        <w:t>13.99</w:t>
      </w:r>
      <w:r>
        <w:rPr>
          <w:rFonts w:hint="eastAsia" w:ascii="仿宋_GB2312" w:eastAsia="仿宋_GB2312"/>
          <w:color w:val="222222"/>
          <w:kern w:val="0"/>
          <w:sz w:val="32"/>
          <w:szCs w:val="32"/>
        </w:rPr>
        <w:t>万元，其中：公务接待费为</w:t>
      </w:r>
      <w:r>
        <w:rPr>
          <w:rFonts w:hint="eastAsia" w:ascii="仿宋_GB2312" w:eastAsia="仿宋_GB2312"/>
          <w:color w:val="222222"/>
          <w:kern w:val="0"/>
          <w:sz w:val="32"/>
          <w:szCs w:val="32"/>
          <w:lang w:val="en-US" w:eastAsia="zh-CN"/>
        </w:rPr>
        <w:t>10.72</w:t>
      </w:r>
      <w:r>
        <w:rPr>
          <w:rFonts w:hint="eastAsia" w:ascii="仿宋_GB2312" w:eastAsia="仿宋_GB2312"/>
          <w:color w:val="222222"/>
          <w:kern w:val="0"/>
          <w:sz w:val="32"/>
          <w:szCs w:val="32"/>
        </w:rPr>
        <w:t>万元，符合县纪委核定标准数，与上年</w:t>
      </w:r>
      <w:r>
        <w:rPr>
          <w:rFonts w:hint="eastAsia" w:ascii="仿宋_GB2312" w:eastAsia="仿宋_GB2312"/>
          <w:color w:val="222222"/>
          <w:kern w:val="0"/>
          <w:sz w:val="32"/>
          <w:szCs w:val="32"/>
          <w:lang w:eastAsia="zh-CN"/>
        </w:rPr>
        <w:t>相比减少</w:t>
      </w:r>
      <w:r>
        <w:rPr>
          <w:rFonts w:hint="eastAsia" w:ascii="仿宋_GB2312" w:eastAsia="仿宋_GB2312"/>
          <w:color w:val="222222"/>
          <w:kern w:val="0"/>
          <w:sz w:val="32"/>
          <w:szCs w:val="32"/>
          <w:lang w:val="en-US" w:eastAsia="zh-CN"/>
        </w:rPr>
        <w:t>4.27万元</w:t>
      </w:r>
      <w:r>
        <w:rPr>
          <w:rFonts w:hint="eastAsia" w:ascii="仿宋_GB2312" w:eastAsia="仿宋_GB2312"/>
          <w:color w:val="222222"/>
          <w:kern w:val="0"/>
          <w:sz w:val="32"/>
          <w:szCs w:val="32"/>
        </w:rPr>
        <w:t>；因公出国（境）没有支出；公务用车运行维护费</w:t>
      </w:r>
      <w:r>
        <w:rPr>
          <w:rFonts w:hint="eastAsia" w:ascii="仿宋_GB2312" w:eastAsia="仿宋_GB2312"/>
          <w:color w:val="222222"/>
          <w:kern w:val="0"/>
          <w:sz w:val="32"/>
          <w:szCs w:val="32"/>
          <w:lang w:val="en-US" w:eastAsia="zh-CN"/>
        </w:rPr>
        <w:t>3.27</w:t>
      </w:r>
      <w:r>
        <w:rPr>
          <w:rFonts w:hint="eastAsia" w:ascii="仿宋_GB2312" w:eastAsia="仿宋_GB2312"/>
          <w:color w:val="222222"/>
          <w:kern w:val="0"/>
          <w:sz w:val="32"/>
          <w:szCs w:val="32"/>
        </w:rPr>
        <w:t>万元，相比上年减少</w:t>
      </w:r>
      <w:r>
        <w:rPr>
          <w:rFonts w:hint="eastAsia" w:ascii="仿宋_GB2312" w:eastAsia="仿宋_GB2312"/>
          <w:color w:val="222222"/>
          <w:kern w:val="0"/>
          <w:sz w:val="32"/>
          <w:szCs w:val="32"/>
          <w:lang w:val="en-US" w:eastAsia="zh-CN"/>
        </w:rPr>
        <w:t>1.72</w:t>
      </w:r>
      <w:r>
        <w:rPr>
          <w:rFonts w:hint="eastAsia" w:ascii="仿宋_GB2312" w:eastAsia="仿宋_GB2312"/>
          <w:color w:val="222222"/>
          <w:kern w:val="0"/>
          <w:sz w:val="32"/>
          <w:szCs w:val="32"/>
        </w:rPr>
        <w:t>万</w:t>
      </w:r>
      <w:r>
        <w:rPr>
          <w:rFonts w:hint="eastAsia" w:ascii="仿宋_GB2312" w:eastAsia="仿宋_GB2312"/>
          <w:color w:val="222222"/>
          <w:kern w:val="0"/>
          <w:sz w:val="32"/>
          <w:szCs w:val="32"/>
          <w:lang w:eastAsia="zh-CN"/>
        </w:rPr>
        <w:t>元。</w:t>
      </w:r>
    </w:p>
    <w:p>
      <w:pPr>
        <w:widowControl/>
        <w:spacing w:line="600" w:lineRule="exact"/>
        <w:ind w:firstLine="640" w:firstLineChars="200"/>
        <w:rPr>
          <w:rFonts w:hint="eastAsia" w:ascii="仿宋_GB2312" w:eastAsia="仿宋_GB2312"/>
          <w:color w:val="000000" w:themeColor="text1"/>
          <w:kern w:val="0"/>
          <w:sz w:val="32"/>
          <w:szCs w:val="32"/>
          <w:lang w:eastAsia="zh-CN"/>
        </w:rPr>
      </w:pPr>
      <w:r>
        <w:rPr>
          <w:rFonts w:hint="eastAsia" w:ascii="仿宋" w:hAnsi="仿宋" w:eastAsia="仿宋" w:cs="仿宋"/>
          <w:color w:val="000000" w:themeColor="text1"/>
          <w:sz w:val="32"/>
          <w:szCs w:val="32"/>
          <w:lang w:eastAsia="zh-CN"/>
        </w:rPr>
        <w:t>一是制定了桃源县</w:t>
      </w:r>
      <w:r>
        <w:rPr>
          <w:rFonts w:hint="eastAsia" w:ascii="仿宋" w:hAnsi="仿宋" w:eastAsia="仿宋" w:cs="仿宋"/>
          <w:color w:val="000000" w:themeColor="text1"/>
          <w:sz w:val="32"/>
          <w:szCs w:val="32"/>
          <w:lang w:val="en-US" w:eastAsia="zh-CN"/>
        </w:rPr>
        <w:t>农机事务中心</w:t>
      </w:r>
      <w:r>
        <w:rPr>
          <w:rFonts w:hint="eastAsia" w:ascii="仿宋" w:hAnsi="仿宋" w:eastAsia="仿宋" w:cs="仿宋"/>
          <w:color w:val="000000" w:themeColor="text1"/>
          <w:sz w:val="32"/>
          <w:szCs w:val="32"/>
          <w:lang w:eastAsia="zh-CN"/>
        </w:rPr>
        <w:t>财务管理制度。二</w:t>
      </w:r>
      <w:r>
        <w:rPr>
          <w:rFonts w:hint="eastAsia" w:ascii="仿宋" w:hAnsi="仿宋" w:eastAsia="仿宋" w:cs="仿宋"/>
          <w:color w:val="000000" w:themeColor="text1"/>
          <w:sz w:val="32"/>
          <w:szCs w:val="32"/>
        </w:rPr>
        <w:t>是</w:t>
      </w:r>
      <w:r>
        <w:rPr>
          <w:rFonts w:hint="eastAsia" w:ascii="仿宋" w:hAnsi="仿宋" w:eastAsia="仿宋" w:cs="仿宋"/>
          <w:color w:val="000000" w:themeColor="text1"/>
          <w:sz w:val="32"/>
          <w:szCs w:val="32"/>
          <w:lang w:eastAsia="zh-CN"/>
        </w:rPr>
        <w:t>制定了桃源县</w:t>
      </w:r>
      <w:r>
        <w:rPr>
          <w:rFonts w:hint="eastAsia" w:ascii="仿宋" w:hAnsi="仿宋" w:eastAsia="仿宋" w:cs="仿宋"/>
          <w:color w:val="000000" w:themeColor="text1"/>
          <w:sz w:val="32"/>
          <w:szCs w:val="32"/>
          <w:lang w:val="en-US" w:eastAsia="zh-CN"/>
        </w:rPr>
        <w:t>农机事务中心</w:t>
      </w:r>
      <w:r>
        <w:rPr>
          <w:rFonts w:hint="eastAsia" w:ascii="仿宋" w:hAnsi="仿宋" w:eastAsia="仿宋" w:cs="仿宋"/>
          <w:color w:val="000000" w:themeColor="text1"/>
          <w:sz w:val="32"/>
          <w:szCs w:val="32"/>
          <w:lang w:eastAsia="zh-CN"/>
        </w:rPr>
        <w:t>专项资金管理办法</w:t>
      </w:r>
      <w:r>
        <w:rPr>
          <w:rFonts w:hint="eastAsia" w:ascii="仿宋" w:hAnsi="仿宋" w:eastAsia="仿宋" w:cs="仿宋"/>
          <w:color w:val="000000" w:themeColor="text1"/>
          <w:sz w:val="32"/>
          <w:szCs w:val="32"/>
        </w:rPr>
        <w:t>。</w:t>
      </w:r>
    </w:p>
    <w:p>
      <w:pPr>
        <w:numPr>
          <w:ilvl w:val="0"/>
          <w:numId w:val="2"/>
        </w:numPr>
        <w:adjustRightInd w:val="0"/>
        <w:ind w:firstLine="640" w:firstLineChars="200"/>
        <w:rPr>
          <w:rFonts w:hint="eastAsia" w:ascii="黑体" w:hAnsi="黑体" w:eastAsia="黑体" w:cs="黑体"/>
          <w:color w:val="222222"/>
          <w:kern w:val="0"/>
          <w:sz w:val="32"/>
          <w:szCs w:val="32"/>
        </w:rPr>
      </w:pPr>
      <w:r>
        <w:rPr>
          <w:rFonts w:hint="eastAsia" w:ascii="黑体" w:hAnsi="黑体" w:eastAsia="黑体" w:cs="黑体"/>
          <w:color w:val="222222"/>
          <w:kern w:val="0"/>
          <w:sz w:val="32"/>
          <w:szCs w:val="32"/>
        </w:rPr>
        <w:t>绩效评价工作情况</w:t>
      </w:r>
    </w:p>
    <w:p>
      <w:pPr>
        <w:widowControl/>
        <w:spacing w:line="600" w:lineRule="exact"/>
        <w:ind w:firstLine="960" w:firstLineChars="300"/>
        <w:rPr>
          <w:rFonts w:hint="eastAsia" w:ascii="仿宋_GB2312" w:hAnsi="仿宋_GB2312" w:eastAsia="仿宋_GB2312" w:cs="仿宋_GB2312"/>
          <w:color w:val="222222"/>
          <w:kern w:val="0"/>
          <w:sz w:val="32"/>
          <w:szCs w:val="32"/>
        </w:rPr>
      </w:pPr>
      <w:r>
        <w:rPr>
          <w:rFonts w:hint="eastAsia" w:ascii="仿宋" w:hAnsi="仿宋" w:eastAsia="仿宋" w:cs="仿宋"/>
          <w:sz w:val="32"/>
          <w:szCs w:val="32"/>
          <w:lang w:eastAsia="zh-CN"/>
        </w:rPr>
        <w:t>一是成立了桃源县</w:t>
      </w:r>
      <w:r>
        <w:rPr>
          <w:rFonts w:hint="eastAsia" w:ascii="仿宋" w:hAnsi="仿宋" w:eastAsia="仿宋" w:cs="仿宋"/>
          <w:sz w:val="32"/>
          <w:szCs w:val="32"/>
          <w:lang w:val="en-US" w:eastAsia="zh-CN"/>
        </w:rPr>
        <w:t>农机事务中心</w:t>
      </w:r>
      <w:r>
        <w:rPr>
          <w:rFonts w:hint="eastAsia" w:ascii="仿宋" w:hAnsi="仿宋" w:eastAsia="仿宋" w:cs="仿宋"/>
          <w:sz w:val="32"/>
          <w:szCs w:val="32"/>
          <w:lang w:eastAsia="zh-CN"/>
        </w:rPr>
        <w:t>专项资金管理工作领导小组。二是</w:t>
      </w:r>
      <w:r>
        <w:rPr>
          <w:rFonts w:hint="eastAsia" w:ascii="仿宋_GB2312" w:eastAsia="仿宋_GB2312"/>
          <w:color w:val="222222"/>
          <w:kern w:val="0"/>
          <w:sz w:val="32"/>
          <w:szCs w:val="32"/>
        </w:rPr>
        <w:t>成立</w:t>
      </w:r>
      <w:r>
        <w:rPr>
          <w:rFonts w:hint="eastAsia" w:ascii="仿宋_GB2312" w:eastAsia="仿宋_GB2312"/>
          <w:color w:val="222222"/>
          <w:kern w:val="0"/>
          <w:sz w:val="32"/>
          <w:szCs w:val="32"/>
          <w:lang w:eastAsia="zh-CN"/>
        </w:rPr>
        <w:t>了</w:t>
      </w:r>
      <w:r>
        <w:rPr>
          <w:rFonts w:hint="eastAsia" w:ascii="仿宋_GB2312" w:eastAsia="仿宋_GB2312"/>
          <w:color w:val="222222"/>
          <w:kern w:val="0"/>
          <w:sz w:val="32"/>
          <w:szCs w:val="32"/>
        </w:rPr>
        <w:t>桃源县</w:t>
      </w:r>
      <w:r>
        <w:rPr>
          <w:rFonts w:hint="eastAsia" w:ascii="仿宋_GB2312" w:eastAsia="仿宋_GB2312"/>
          <w:color w:val="222222"/>
          <w:kern w:val="0"/>
          <w:sz w:val="32"/>
          <w:szCs w:val="32"/>
          <w:lang w:val="en-US" w:eastAsia="zh-CN"/>
        </w:rPr>
        <w:t>农机事务中心</w:t>
      </w:r>
      <w:r>
        <w:rPr>
          <w:rFonts w:hint="eastAsia" w:ascii="仿宋_GB2312" w:eastAsia="仿宋_GB2312"/>
          <w:color w:val="222222"/>
          <w:kern w:val="0"/>
          <w:sz w:val="32"/>
          <w:szCs w:val="32"/>
        </w:rPr>
        <w:t>部门整体绩效评价小组</w:t>
      </w:r>
      <w:r>
        <w:rPr>
          <w:rFonts w:hint="eastAsia" w:ascii="仿宋_GB2312" w:eastAsia="仿宋_GB2312"/>
          <w:color w:val="222222"/>
          <w:kern w:val="0"/>
          <w:sz w:val="32"/>
          <w:szCs w:val="32"/>
          <w:lang w:eastAsia="zh-CN"/>
        </w:rPr>
        <w:t>，由</w:t>
      </w:r>
      <w:r>
        <w:rPr>
          <w:rFonts w:hint="eastAsia" w:ascii="仿宋_GB2312" w:eastAsia="仿宋_GB2312"/>
          <w:color w:val="222222"/>
          <w:kern w:val="0"/>
          <w:sz w:val="32"/>
          <w:szCs w:val="32"/>
          <w:lang w:val="en-US" w:eastAsia="zh-CN"/>
        </w:rPr>
        <w:t>陈华文</w:t>
      </w:r>
      <w:r>
        <w:rPr>
          <w:rFonts w:hint="eastAsia" w:ascii="仿宋_GB2312" w:eastAsia="仿宋_GB2312"/>
          <w:color w:val="222222"/>
          <w:kern w:val="0"/>
          <w:sz w:val="32"/>
          <w:szCs w:val="32"/>
          <w:lang w:eastAsia="zh-CN"/>
        </w:rPr>
        <w:t>任</w:t>
      </w:r>
      <w:r>
        <w:rPr>
          <w:rFonts w:hint="eastAsia" w:ascii="仿宋_GB2312" w:eastAsia="仿宋_GB2312"/>
          <w:color w:val="222222"/>
          <w:kern w:val="0"/>
          <w:sz w:val="32"/>
          <w:szCs w:val="32"/>
        </w:rPr>
        <w:t>组长、</w:t>
      </w:r>
      <w:r>
        <w:rPr>
          <w:rFonts w:hint="eastAsia" w:ascii="仿宋_GB2312" w:eastAsia="仿宋_GB2312"/>
          <w:color w:val="222222"/>
          <w:kern w:val="0"/>
          <w:sz w:val="32"/>
          <w:szCs w:val="32"/>
          <w:lang w:val="en-US" w:eastAsia="zh-CN"/>
        </w:rPr>
        <w:t>陈耀明</w:t>
      </w:r>
      <w:r>
        <w:rPr>
          <w:rFonts w:hint="eastAsia" w:ascii="仿宋_GB2312" w:eastAsia="仿宋_GB2312"/>
          <w:color w:val="222222"/>
          <w:kern w:val="0"/>
          <w:sz w:val="32"/>
          <w:szCs w:val="32"/>
          <w:lang w:eastAsia="zh-CN"/>
        </w:rPr>
        <w:t>任</w:t>
      </w:r>
      <w:r>
        <w:rPr>
          <w:rFonts w:hint="eastAsia" w:ascii="仿宋_GB2312" w:eastAsia="仿宋_GB2312"/>
          <w:color w:val="222222"/>
          <w:kern w:val="0"/>
          <w:sz w:val="32"/>
          <w:szCs w:val="32"/>
        </w:rPr>
        <w:t>副组长</w:t>
      </w:r>
      <w:r>
        <w:rPr>
          <w:rFonts w:hint="eastAsia" w:ascii="仿宋_GB2312" w:eastAsia="仿宋_GB2312"/>
          <w:color w:val="222222"/>
          <w:kern w:val="0"/>
          <w:sz w:val="32"/>
          <w:szCs w:val="32"/>
          <w:lang w:eastAsia="zh-CN"/>
        </w:rPr>
        <w:t>，</w:t>
      </w:r>
      <w:r>
        <w:rPr>
          <w:rFonts w:hint="eastAsia" w:ascii="仿宋_GB2312" w:eastAsia="仿宋_GB2312"/>
          <w:color w:val="222222"/>
          <w:kern w:val="0"/>
          <w:sz w:val="32"/>
          <w:szCs w:val="32"/>
          <w:lang w:val="en-US" w:eastAsia="zh-CN"/>
        </w:rPr>
        <w:t>江新忠</w:t>
      </w:r>
      <w:r>
        <w:rPr>
          <w:rFonts w:hint="eastAsia" w:ascii="仿宋_GB2312" w:eastAsia="仿宋_GB2312"/>
          <w:color w:val="222222"/>
          <w:kern w:val="0"/>
          <w:sz w:val="32"/>
          <w:szCs w:val="32"/>
        </w:rPr>
        <w:t>、</w:t>
      </w:r>
      <w:r>
        <w:rPr>
          <w:rFonts w:hint="eastAsia" w:ascii="仿宋_GB2312" w:eastAsia="仿宋_GB2312"/>
          <w:color w:val="222222"/>
          <w:kern w:val="0"/>
          <w:sz w:val="32"/>
          <w:szCs w:val="32"/>
          <w:lang w:eastAsia="zh-CN"/>
        </w:rPr>
        <w:t>夏松民</w:t>
      </w:r>
      <w:r>
        <w:rPr>
          <w:rFonts w:hint="eastAsia" w:ascii="仿宋_GB2312" w:eastAsia="仿宋_GB2312"/>
          <w:color w:val="222222"/>
          <w:kern w:val="0"/>
          <w:sz w:val="32"/>
          <w:szCs w:val="32"/>
        </w:rPr>
        <w:t>、饶建平、高志飞、</w:t>
      </w:r>
      <w:r>
        <w:rPr>
          <w:rFonts w:hint="eastAsia" w:ascii="仿宋_GB2312" w:eastAsia="仿宋_GB2312"/>
          <w:color w:val="222222"/>
          <w:kern w:val="0"/>
          <w:sz w:val="32"/>
          <w:szCs w:val="32"/>
          <w:lang w:val="en-US" w:eastAsia="zh-CN"/>
        </w:rPr>
        <w:t>熊泽林、</w:t>
      </w:r>
      <w:r>
        <w:rPr>
          <w:rFonts w:hint="eastAsia" w:ascii="仿宋_GB2312" w:eastAsia="仿宋_GB2312"/>
          <w:color w:val="222222"/>
          <w:kern w:val="0"/>
          <w:sz w:val="32"/>
          <w:szCs w:val="32"/>
        </w:rPr>
        <w:t>郑竹林、余敬中、</w:t>
      </w:r>
      <w:r>
        <w:rPr>
          <w:rFonts w:hint="eastAsia" w:ascii="仿宋_GB2312" w:eastAsia="仿宋_GB2312"/>
          <w:color w:val="222222"/>
          <w:kern w:val="0"/>
          <w:sz w:val="32"/>
          <w:szCs w:val="32"/>
          <w:lang w:eastAsia="zh-CN"/>
        </w:rPr>
        <w:t>王如军</w:t>
      </w:r>
      <w:r>
        <w:rPr>
          <w:rFonts w:hint="eastAsia" w:ascii="仿宋_GB2312" w:eastAsia="仿宋_GB2312"/>
          <w:color w:val="222222"/>
          <w:kern w:val="0"/>
          <w:sz w:val="32"/>
          <w:szCs w:val="32"/>
        </w:rPr>
        <w:t>、闵中美、戴道林</w:t>
      </w:r>
      <w:r>
        <w:rPr>
          <w:rFonts w:hint="eastAsia" w:ascii="仿宋_GB2312" w:eastAsia="仿宋_GB2312"/>
          <w:color w:val="222222"/>
          <w:kern w:val="0"/>
          <w:sz w:val="32"/>
          <w:szCs w:val="32"/>
          <w:lang w:eastAsia="zh-CN"/>
        </w:rPr>
        <w:t>为成员</w:t>
      </w:r>
      <w:r>
        <w:rPr>
          <w:rFonts w:hint="eastAsia" w:ascii="仿宋_GB2312" w:eastAsia="仿宋_GB2312"/>
          <w:color w:val="222222"/>
          <w:kern w:val="0"/>
          <w:sz w:val="32"/>
          <w:szCs w:val="32"/>
        </w:rPr>
        <w:t>。</w:t>
      </w:r>
      <w:r>
        <w:rPr>
          <w:rFonts w:hint="eastAsia" w:ascii="仿宋_GB2312" w:hAnsi="仿宋_GB2312" w:eastAsia="仿宋_GB2312" w:cs="仿宋_GB2312"/>
          <w:color w:val="222222"/>
          <w:kern w:val="0"/>
          <w:sz w:val="32"/>
          <w:szCs w:val="32"/>
        </w:rPr>
        <w:t>落实人员，明确责任，积极探索，认真开展预算资金绩效自评工作。认真组织，协调配合。根据预算资金的绩效目标，按照相关原则，选择和确定好绩效评价指标和标准，运用最优的评价方法开展项目绩效自评工作。</w:t>
      </w:r>
    </w:p>
    <w:p>
      <w:pPr>
        <w:ind w:firstLine="640" w:firstLineChars="200"/>
        <w:rPr>
          <w:rFonts w:hint="eastAsia" w:ascii="黑体" w:eastAsia="黑体"/>
          <w:color w:val="222222"/>
          <w:kern w:val="0"/>
          <w:sz w:val="32"/>
          <w:szCs w:val="32"/>
        </w:rPr>
      </w:pPr>
      <w:r>
        <w:rPr>
          <w:rFonts w:hint="eastAsia" w:ascii="黑体" w:hAnsi="黑体" w:eastAsia="黑体" w:cs="黑体"/>
          <w:color w:val="222222"/>
          <w:kern w:val="0"/>
          <w:sz w:val="32"/>
          <w:szCs w:val="32"/>
        </w:rPr>
        <w:t xml:space="preserve"> </w:t>
      </w:r>
      <w:r>
        <w:rPr>
          <w:rFonts w:hint="eastAsia" w:ascii="黑体" w:hAnsi="黑体" w:eastAsia="黑体" w:cs="黑体"/>
          <w:color w:val="222222"/>
          <w:kern w:val="0"/>
          <w:sz w:val="32"/>
          <w:szCs w:val="32"/>
          <w:lang w:eastAsia="zh-CN"/>
        </w:rPr>
        <w:t>五、</w:t>
      </w:r>
      <w:r>
        <w:rPr>
          <w:rFonts w:hint="eastAsia" w:ascii="黑体" w:eastAsia="黑体"/>
          <w:color w:val="222222"/>
          <w:kern w:val="0"/>
          <w:sz w:val="32"/>
          <w:szCs w:val="32"/>
        </w:rPr>
        <w:t>综合评价结果</w:t>
      </w:r>
    </w:p>
    <w:p>
      <w:pPr>
        <w:adjustRightInd w:val="0"/>
        <w:snapToGrid w:val="0"/>
        <w:spacing w:line="600" w:lineRule="exact"/>
        <w:ind w:firstLine="640" w:firstLineChars="200"/>
        <w:rPr>
          <w:rFonts w:hint="eastAsia" w:ascii="黑体" w:eastAsia="黑体"/>
          <w:color w:val="000000" w:themeColor="text1"/>
          <w:kern w:val="0"/>
          <w:sz w:val="32"/>
          <w:szCs w:val="32"/>
          <w:lang w:eastAsia="zh-CN"/>
        </w:rPr>
      </w:pPr>
      <w:r>
        <w:rPr>
          <w:rFonts w:hint="eastAsia" w:ascii="仿宋" w:hAnsi="仿宋" w:eastAsia="仿宋" w:cs="仿宋"/>
          <w:color w:val="000000" w:themeColor="text1"/>
          <w:sz w:val="32"/>
          <w:szCs w:val="32"/>
        </w:rPr>
        <w:t>经综合评价，</w:t>
      </w:r>
      <w:r>
        <w:rPr>
          <w:rFonts w:hint="eastAsia" w:ascii="仿宋" w:hAnsi="仿宋" w:eastAsia="仿宋" w:cs="仿宋"/>
          <w:color w:val="000000" w:themeColor="text1"/>
          <w:sz w:val="32"/>
          <w:szCs w:val="32"/>
          <w:lang w:val="en-US" w:eastAsia="zh-CN"/>
        </w:rPr>
        <w:t>桃源县农机事务中心</w:t>
      </w:r>
      <w:r>
        <w:rPr>
          <w:rFonts w:hint="eastAsia" w:ascii="仿宋" w:hAnsi="仿宋" w:eastAsia="仿宋" w:cs="仿宋"/>
          <w:color w:val="000000" w:themeColor="text1"/>
          <w:sz w:val="32"/>
          <w:szCs w:val="32"/>
        </w:rPr>
        <w:t xml:space="preserve"> 20</w:t>
      </w:r>
      <w:r>
        <w:rPr>
          <w:rFonts w:hint="eastAsia" w:ascii="仿宋" w:hAnsi="仿宋" w:eastAsia="仿宋" w:cs="仿宋"/>
          <w:color w:val="000000" w:themeColor="text1"/>
          <w:sz w:val="32"/>
          <w:szCs w:val="32"/>
          <w:lang w:val="en-US" w:eastAsia="zh-CN"/>
        </w:rPr>
        <w:t>20</w:t>
      </w:r>
      <w:r>
        <w:rPr>
          <w:rFonts w:hint="eastAsia" w:ascii="仿宋" w:hAnsi="仿宋" w:eastAsia="仿宋" w:cs="仿宋"/>
          <w:color w:val="000000" w:themeColor="text1"/>
          <w:sz w:val="32"/>
          <w:szCs w:val="32"/>
        </w:rPr>
        <w:t>年部门整体支出绩效评价得分</w:t>
      </w:r>
      <w:r>
        <w:rPr>
          <w:rFonts w:hint="eastAsia" w:ascii="仿宋" w:hAnsi="仿宋" w:eastAsia="仿宋" w:cs="仿宋"/>
          <w:color w:val="000000" w:themeColor="text1"/>
          <w:sz w:val="32"/>
          <w:szCs w:val="32"/>
          <w:lang w:val="en-US" w:eastAsia="zh-CN"/>
        </w:rPr>
        <w:t>96</w:t>
      </w:r>
      <w:r>
        <w:rPr>
          <w:rFonts w:hint="eastAsia" w:ascii="仿宋" w:hAnsi="仿宋" w:eastAsia="仿宋" w:cs="仿宋"/>
          <w:color w:val="000000" w:themeColor="text1"/>
          <w:sz w:val="32"/>
          <w:szCs w:val="32"/>
        </w:rPr>
        <w:t>分，评价结果为</w:t>
      </w: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sz w:val="32"/>
          <w:szCs w:val="32"/>
        </w:rPr>
        <w:t xml:space="preserve">“ </w:t>
      </w:r>
      <w:r>
        <w:rPr>
          <w:rFonts w:hint="eastAsia" w:ascii="仿宋" w:hAnsi="仿宋" w:eastAsia="仿宋" w:cs="仿宋"/>
          <w:color w:val="000000" w:themeColor="text1"/>
          <w:sz w:val="32"/>
          <w:szCs w:val="32"/>
          <w:highlight w:val="none"/>
          <w:lang w:eastAsia="zh-CN"/>
        </w:rPr>
        <w:t>优</w:t>
      </w:r>
      <w:r>
        <w:rPr>
          <w:rFonts w:hint="eastAsia" w:ascii="仿宋" w:hAnsi="仿宋" w:eastAsia="仿宋" w:cs="仿宋"/>
          <w:color w:val="000000" w:themeColor="text1"/>
          <w:sz w:val="32"/>
          <w:szCs w:val="32"/>
        </w:rPr>
        <w:t>”。</w:t>
      </w:r>
    </w:p>
    <w:p>
      <w:pPr>
        <w:numPr>
          <w:ilvl w:val="0"/>
          <w:numId w:val="3"/>
        </w:numPr>
        <w:ind w:firstLine="640" w:firstLineChars="200"/>
        <w:rPr>
          <w:rFonts w:hint="eastAsia" w:ascii="黑体" w:eastAsia="黑体"/>
          <w:color w:val="222222"/>
          <w:kern w:val="0"/>
          <w:sz w:val="32"/>
          <w:szCs w:val="32"/>
        </w:rPr>
      </w:pPr>
      <w:r>
        <w:rPr>
          <w:rFonts w:hint="eastAsia" w:ascii="黑体" w:eastAsia="黑体"/>
          <w:color w:val="222222"/>
          <w:kern w:val="0"/>
          <w:sz w:val="32"/>
          <w:szCs w:val="32"/>
        </w:rPr>
        <w:t>部门整体支出绩效情况</w:t>
      </w:r>
    </w:p>
    <w:p>
      <w:pPr>
        <w:numPr>
          <w:ilvl w:val="0"/>
          <w:numId w:val="0"/>
        </w:numPr>
        <w:adjustRightInd w:val="0"/>
        <w:ind w:firstLine="643" w:firstLineChars="200"/>
        <w:rPr>
          <w:rFonts w:hint="eastAsia" w:ascii="楷体" w:hAnsi="楷体" w:eastAsia="楷体" w:cs="楷体"/>
          <w:b/>
          <w:bCs/>
          <w:color w:val="000000" w:themeColor="text1"/>
          <w:sz w:val="32"/>
          <w:szCs w:val="32"/>
          <w:lang w:eastAsia="zh-CN"/>
        </w:rPr>
      </w:pPr>
      <w:r>
        <w:rPr>
          <w:rFonts w:hint="eastAsia" w:ascii="楷体" w:hAnsi="楷体" w:eastAsia="楷体" w:cs="楷体"/>
          <w:b/>
          <w:bCs/>
          <w:sz w:val="32"/>
          <w:szCs w:val="32"/>
          <w:lang w:eastAsia="zh-CN"/>
        </w:rPr>
        <w:t>（一）</w:t>
      </w:r>
      <w:r>
        <w:rPr>
          <w:rFonts w:hint="eastAsia" w:ascii="楷体" w:hAnsi="楷体" w:eastAsia="楷体" w:cs="楷体"/>
          <w:b/>
          <w:bCs/>
          <w:color w:val="000000" w:themeColor="text1"/>
          <w:sz w:val="32"/>
          <w:szCs w:val="32"/>
        </w:rPr>
        <w:t>农</w:t>
      </w:r>
      <w:r>
        <w:rPr>
          <w:rFonts w:hint="eastAsia" w:ascii="楷体" w:hAnsi="楷体" w:eastAsia="楷体" w:cs="楷体"/>
          <w:b/>
          <w:bCs/>
          <w:color w:val="000000" w:themeColor="text1"/>
          <w:sz w:val="32"/>
          <w:szCs w:val="32"/>
          <w:lang w:eastAsia="zh-CN"/>
        </w:rPr>
        <w:t>机化水平稳步增涨</w:t>
      </w:r>
    </w:p>
    <w:p>
      <w:pPr>
        <w:adjustRightInd w:val="0"/>
        <w:ind w:firstLine="643"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val="0"/>
          <w:sz w:val="32"/>
          <w:szCs w:val="32"/>
        </w:rPr>
        <w:t>一是</w:t>
      </w:r>
      <w:r>
        <w:rPr>
          <w:rFonts w:hint="eastAsia" w:ascii="仿宋_GB2312" w:hAnsi="仿宋_GB2312" w:eastAsia="仿宋_GB2312" w:cs="仿宋_GB2312"/>
          <w:b w:val="0"/>
          <w:bCs/>
          <w:sz w:val="32"/>
          <w:szCs w:val="32"/>
        </w:rPr>
        <w:t>全县农业机械装备总量持续增长</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Cs/>
          <w:sz w:val="32"/>
          <w:szCs w:val="32"/>
        </w:rPr>
        <w:t>农机装备结构逐步改善。</w:t>
      </w:r>
      <w:r>
        <w:rPr>
          <w:rFonts w:hint="eastAsia" w:ascii="仿宋_GB2312" w:hAnsi="仿宋_GB2312" w:eastAsia="仿宋_GB2312" w:cs="仿宋_GB2312"/>
          <w:sz w:val="32"/>
          <w:szCs w:val="32"/>
          <w:lang w:eastAsia="zh-CN"/>
        </w:rPr>
        <w:t>截止目前</w:t>
      </w:r>
      <w:r>
        <w:rPr>
          <w:rFonts w:hint="eastAsia" w:ascii="仿宋_GB2312" w:hAnsi="仿宋_GB2312" w:eastAsia="仿宋_GB2312" w:cs="仿宋_GB2312"/>
          <w:sz w:val="32"/>
          <w:szCs w:val="32"/>
        </w:rPr>
        <w:t>全县农机</w:t>
      </w:r>
      <w:r>
        <w:rPr>
          <w:rFonts w:hint="eastAsia" w:ascii="仿宋_GB2312" w:hAnsi="仿宋_GB2312" w:eastAsia="仿宋_GB2312" w:cs="仿宋_GB2312"/>
          <w:sz w:val="32"/>
          <w:szCs w:val="32"/>
          <w:lang w:eastAsia="zh-CN"/>
        </w:rPr>
        <w:t>总量</w:t>
      </w:r>
      <w:r>
        <w:rPr>
          <w:rFonts w:hint="eastAsia" w:ascii="仿宋_GB2312" w:hAnsi="仿宋_GB2312" w:eastAsia="仿宋_GB2312" w:cs="仿宋_GB2312"/>
          <w:sz w:val="32"/>
          <w:szCs w:val="32"/>
          <w:lang w:val="en-US" w:eastAsia="zh-CN"/>
        </w:rPr>
        <w:t>16.1013</w:t>
      </w:r>
      <w:r>
        <w:rPr>
          <w:rFonts w:hint="eastAsia" w:ascii="仿宋_GB2312" w:hAnsi="仿宋_GB2312" w:eastAsia="仿宋_GB2312" w:cs="仿宋_GB2312"/>
          <w:sz w:val="32"/>
          <w:szCs w:val="32"/>
        </w:rPr>
        <w:t>万台，总动力1</w:t>
      </w:r>
      <w:r>
        <w:rPr>
          <w:rFonts w:hint="eastAsia" w:ascii="仿宋_GB2312" w:hAnsi="仿宋_GB2312" w:eastAsia="仿宋_GB2312" w:cs="仿宋_GB2312"/>
          <w:sz w:val="32"/>
          <w:szCs w:val="32"/>
          <w:lang w:val="en-US" w:eastAsia="zh-CN"/>
        </w:rPr>
        <w:t>03.59</w:t>
      </w:r>
      <w:r>
        <w:rPr>
          <w:rFonts w:hint="eastAsia" w:ascii="仿宋_GB2312" w:hAnsi="仿宋_GB2312" w:eastAsia="仿宋_GB2312" w:cs="仿宋_GB2312"/>
          <w:sz w:val="32"/>
          <w:szCs w:val="32"/>
        </w:rPr>
        <w:t>万千瓦</w:t>
      </w:r>
      <w:r>
        <w:rPr>
          <w:rFonts w:hint="eastAsia" w:ascii="仿宋_GB2312" w:hAnsi="仿宋_GB2312" w:eastAsia="仿宋_GB2312" w:cs="仿宋_GB2312"/>
          <w:sz w:val="32"/>
          <w:szCs w:val="32"/>
          <w:lang w:eastAsia="zh-CN"/>
        </w:rPr>
        <w:t>，比去年同期增加</w:t>
      </w:r>
      <w:r>
        <w:rPr>
          <w:rFonts w:hint="eastAsia" w:ascii="仿宋_GB2312" w:hAnsi="仿宋_GB2312" w:eastAsia="仿宋_GB2312" w:cs="仿宋_GB2312"/>
          <w:sz w:val="32"/>
          <w:szCs w:val="32"/>
          <w:lang w:val="en-US" w:eastAsia="zh-CN"/>
        </w:rPr>
        <w:t>1313台，1.73万千瓦。</w:t>
      </w:r>
    </w:p>
    <w:p>
      <w:pPr>
        <w:adjustRightInd w:val="0"/>
        <w:ind w:firstLine="643"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农机社会化服务水平稳步提高。</w:t>
      </w:r>
      <w:r>
        <w:rPr>
          <w:rFonts w:hint="eastAsia" w:ascii="仿宋_GB2312" w:hAnsi="仿宋_GB2312" w:eastAsia="仿宋_GB2312" w:cs="仿宋_GB2312"/>
          <w:sz w:val="32"/>
          <w:szCs w:val="32"/>
          <w:lang w:eastAsia="zh-CN"/>
        </w:rPr>
        <w:t>截止目前</w:t>
      </w:r>
      <w:r>
        <w:rPr>
          <w:rFonts w:hint="eastAsia" w:ascii="仿宋_GB2312" w:hAnsi="仿宋_GB2312" w:eastAsia="仿宋_GB2312" w:cs="仿宋_GB2312"/>
          <w:sz w:val="32"/>
          <w:szCs w:val="32"/>
          <w:lang w:val="en-US" w:eastAsia="zh-CN"/>
        </w:rPr>
        <w:t>全县拥有省级现代合作社76家，</w:t>
      </w:r>
      <w:r>
        <w:rPr>
          <w:rFonts w:hint="eastAsia" w:ascii="仿宋_GB2312" w:hAnsi="仿宋_GB2312" w:eastAsia="仿宋_GB2312" w:cs="仿宋_GB2312"/>
          <w:sz w:val="32"/>
          <w:szCs w:val="32"/>
        </w:rPr>
        <w:t>全程机械化综合农事服务中心</w:t>
      </w:r>
      <w:r>
        <w:rPr>
          <w:rFonts w:hint="eastAsia" w:ascii="仿宋_GB2312" w:hAnsi="仿宋_GB2312" w:eastAsia="仿宋_GB2312" w:cs="仿宋_GB2312"/>
          <w:sz w:val="32"/>
          <w:szCs w:val="32"/>
          <w:lang w:val="en-US" w:eastAsia="zh-CN"/>
        </w:rPr>
        <w:t>1家，示范社18家，其中国家级示范社1家。</w:t>
      </w:r>
    </w:p>
    <w:p>
      <w:pPr>
        <w:adjustRightInd w:val="0"/>
        <w:ind w:firstLine="643"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是</w:t>
      </w:r>
      <w:r>
        <w:rPr>
          <w:rFonts w:hint="eastAsia" w:ascii="仿宋_GB2312" w:hAnsi="仿宋_GB2312" w:eastAsia="仿宋_GB2312" w:cs="仿宋_GB2312"/>
          <w:bCs/>
          <w:sz w:val="32"/>
          <w:szCs w:val="32"/>
        </w:rPr>
        <w:t>全县农机化作业水平不断提升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水稻机械化耕整作业基本上实现了全覆盖</w:t>
      </w:r>
      <w:r>
        <w:rPr>
          <w:rFonts w:hint="eastAsia" w:ascii="仿宋_GB2312" w:hAnsi="仿宋_GB2312" w:eastAsia="仿宋_GB2312" w:cs="仿宋_GB2312"/>
          <w:sz w:val="32"/>
          <w:szCs w:val="32"/>
          <w:lang w:eastAsia="zh-CN"/>
        </w:rPr>
        <w:t>，达</w:t>
      </w:r>
      <w:r>
        <w:rPr>
          <w:rFonts w:hint="eastAsia" w:ascii="仿宋_GB2312" w:hAnsi="仿宋_GB2312" w:eastAsia="仿宋_GB2312" w:cs="仿宋_GB2312"/>
          <w:color w:val="333333"/>
          <w:sz w:val="32"/>
          <w:szCs w:val="32"/>
        </w:rPr>
        <w:t>99.4%</w:t>
      </w:r>
      <w:r>
        <w:rPr>
          <w:rFonts w:hint="eastAsia" w:ascii="仿宋_GB2312" w:hAnsi="仿宋_GB2312" w:eastAsia="仿宋_GB2312" w:cs="仿宋_GB2312"/>
          <w:color w:val="333333"/>
          <w:sz w:val="32"/>
          <w:szCs w:val="32"/>
          <w:lang w:eastAsia="zh-CN"/>
        </w:rPr>
        <w:t>，比去年提高了</w:t>
      </w:r>
      <w:r>
        <w:rPr>
          <w:rFonts w:hint="eastAsia" w:ascii="仿宋_GB2312" w:hAnsi="仿宋_GB2312" w:eastAsia="仿宋_GB2312" w:cs="仿宋_GB2312"/>
          <w:color w:val="333333"/>
          <w:sz w:val="32"/>
          <w:szCs w:val="32"/>
          <w:lang w:val="en-US" w:eastAsia="zh-CN"/>
        </w:rPr>
        <w:t>0.5%</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机械化收获作业率达</w:t>
      </w:r>
      <w:r>
        <w:rPr>
          <w:rFonts w:hint="eastAsia" w:ascii="仿宋_GB2312" w:hAnsi="仿宋_GB2312" w:eastAsia="仿宋_GB2312" w:cs="仿宋_GB2312"/>
          <w:color w:val="000000"/>
          <w:sz w:val="32"/>
          <w:szCs w:val="32"/>
          <w:lang w:val="en-US" w:eastAsia="zh-CN"/>
        </w:rPr>
        <w:t>99.3</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333333"/>
          <w:sz w:val="32"/>
          <w:szCs w:val="32"/>
          <w:lang w:eastAsia="zh-CN"/>
        </w:rPr>
        <w:t>比去年</w:t>
      </w:r>
      <w:r>
        <w:rPr>
          <w:rFonts w:hint="eastAsia" w:ascii="仿宋_GB2312" w:hAnsi="仿宋_GB2312" w:eastAsia="仿宋_GB2312" w:cs="仿宋_GB2312"/>
          <w:color w:val="333333"/>
          <w:sz w:val="32"/>
          <w:szCs w:val="32"/>
          <w:lang w:val="en-US" w:eastAsia="zh-CN"/>
        </w:rPr>
        <w:t>提高了0.1%</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sz w:val="32"/>
          <w:szCs w:val="32"/>
        </w:rPr>
        <w:t>水稻</w:t>
      </w:r>
      <w:r>
        <w:rPr>
          <w:rFonts w:hint="eastAsia" w:ascii="仿宋_GB2312" w:hAnsi="仿宋_GB2312" w:eastAsia="仿宋_GB2312" w:cs="仿宋_GB2312"/>
          <w:color w:val="000000"/>
          <w:sz w:val="32"/>
          <w:szCs w:val="32"/>
        </w:rPr>
        <w:t>机插率达</w:t>
      </w:r>
      <w:r>
        <w:rPr>
          <w:rFonts w:hint="eastAsia" w:ascii="仿宋_GB2312" w:hAnsi="仿宋_GB2312" w:eastAsia="仿宋_GB2312" w:cs="仿宋_GB2312"/>
          <w:color w:val="333333"/>
          <w:sz w:val="32"/>
          <w:szCs w:val="32"/>
          <w:lang w:val="en-US" w:eastAsia="zh-CN"/>
        </w:rPr>
        <w:t>38.8</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color w:val="333333"/>
          <w:sz w:val="32"/>
          <w:szCs w:val="32"/>
          <w:lang w:eastAsia="zh-CN"/>
        </w:rPr>
        <w:t>比去年</w:t>
      </w:r>
      <w:r>
        <w:rPr>
          <w:rFonts w:hint="eastAsia" w:ascii="仿宋_GB2312" w:hAnsi="仿宋_GB2312" w:eastAsia="仿宋_GB2312" w:cs="仿宋_GB2312"/>
          <w:color w:val="333333"/>
          <w:sz w:val="32"/>
          <w:szCs w:val="32"/>
          <w:lang w:val="en-US" w:eastAsia="zh-CN"/>
        </w:rPr>
        <w:t>提高了4.1%，</w:t>
      </w:r>
      <w:r>
        <w:rPr>
          <w:rFonts w:hint="eastAsia" w:ascii="仿宋_GB2312" w:hAnsi="仿宋_GB2312" w:eastAsia="仿宋_GB2312" w:cs="仿宋_GB2312"/>
          <w:sz w:val="32"/>
          <w:szCs w:val="32"/>
        </w:rPr>
        <w:t>水稻耕种收综合机械化水平达</w:t>
      </w:r>
      <w:r>
        <w:rPr>
          <w:rFonts w:hint="eastAsia" w:ascii="仿宋_GB2312" w:hAnsi="仿宋_GB2312" w:eastAsia="仿宋_GB2312" w:cs="仿宋_GB2312"/>
          <w:sz w:val="32"/>
          <w:szCs w:val="32"/>
          <w:lang w:val="en-US" w:eastAsia="zh-CN"/>
        </w:rPr>
        <w:t>81.19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，比去年提高了</w:t>
      </w:r>
      <w:r>
        <w:rPr>
          <w:rFonts w:hint="eastAsia" w:ascii="仿宋_GB2312" w:hAnsi="仿宋_GB2312" w:eastAsia="仿宋_GB2312" w:cs="仿宋_GB2312"/>
          <w:color w:val="333333"/>
          <w:sz w:val="32"/>
          <w:szCs w:val="32"/>
          <w:lang w:val="en-US" w:eastAsia="zh-CN"/>
        </w:rPr>
        <w:t>1.46%</w:t>
      </w:r>
      <w:r>
        <w:rPr>
          <w:rFonts w:hint="eastAsia" w:ascii="仿宋_GB2312" w:hAnsi="仿宋_GB2312" w:eastAsia="仿宋_GB2312" w:cs="仿宋_GB2312"/>
          <w:sz w:val="32"/>
          <w:szCs w:val="32"/>
          <w:lang w:eastAsia="zh-CN"/>
        </w:rPr>
        <w:t>，油菜</w:t>
      </w:r>
      <w:r>
        <w:rPr>
          <w:rFonts w:hint="eastAsia" w:ascii="仿宋_GB2312" w:hAnsi="仿宋_GB2312" w:eastAsia="仿宋_GB2312" w:cs="仿宋_GB2312"/>
          <w:sz w:val="32"/>
          <w:szCs w:val="32"/>
        </w:rPr>
        <w:t>耕种收综合机械化水平达</w:t>
      </w:r>
      <w:r>
        <w:rPr>
          <w:rFonts w:hint="eastAsia" w:ascii="仿宋_GB2312" w:hAnsi="仿宋_GB2312" w:eastAsia="仿宋_GB2312" w:cs="仿宋_GB2312"/>
          <w:color w:val="000000" w:themeColor="text1"/>
          <w:kern w:val="0"/>
          <w:sz w:val="32"/>
          <w:szCs w:val="32"/>
          <w:lang w:val="en-US" w:eastAsia="zh-CN"/>
        </w:rPr>
        <w:t>52.19</w:t>
      </w:r>
      <w:r>
        <w:rPr>
          <w:rFonts w:hint="eastAsia" w:ascii="仿宋_GB2312" w:hAnsi="仿宋_GB2312" w:eastAsia="仿宋_GB2312" w:cs="仿宋_GB2312"/>
          <w:color w:val="000000" w:themeColor="text1"/>
          <w:kern w:val="0"/>
          <w:sz w:val="32"/>
          <w:szCs w:val="32"/>
        </w:rPr>
        <w:t>%</w:t>
      </w:r>
      <w:r>
        <w:rPr>
          <w:rFonts w:hint="eastAsia" w:ascii="仿宋_GB2312" w:hAnsi="仿宋_GB2312" w:eastAsia="仿宋_GB2312" w:cs="仿宋_GB2312"/>
          <w:color w:val="000000" w:themeColor="text1"/>
          <w:kern w:val="0"/>
          <w:sz w:val="32"/>
          <w:szCs w:val="32"/>
          <w:lang w:eastAsia="zh-CN"/>
        </w:rPr>
        <w:t>，比去年提高了</w:t>
      </w:r>
      <w:r>
        <w:rPr>
          <w:rFonts w:hint="eastAsia" w:ascii="仿宋_GB2312" w:hAnsi="仿宋_GB2312" w:eastAsia="仿宋_GB2312" w:cs="仿宋_GB2312"/>
          <w:color w:val="000000" w:themeColor="text1"/>
          <w:kern w:val="0"/>
          <w:sz w:val="32"/>
          <w:szCs w:val="32"/>
          <w:lang w:val="en-US" w:eastAsia="zh-CN"/>
        </w:rPr>
        <w:t>13.86%</w:t>
      </w:r>
      <w:r>
        <w:rPr>
          <w:rFonts w:hint="eastAsia" w:ascii="仿宋_GB2312" w:hAnsi="仿宋_GB2312" w:eastAsia="仿宋_GB2312" w:cs="仿宋_GB2312"/>
          <w:color w:val="000000" w:themeColor="text1"/>
          <w:kern w:val="0"/>
          <w:sz w:val="32"/>
          <w:szCs w:val="32"/>
        </w:rPr>
        <w:t>。</w:t>
      </w:r>
    </w:p>
    <w:p>
      <w:pPr>
        <w:numPr>
          <w:ilvl w:val="0"/>
          <w:numId w:val="0"/>
        </w:numPr>
        <w:ind w:firstLine="643" w:firstLineChars="200"/>
        <w:rPr>
          <w:rFonts w:hint="eastAsia" w:ascii="楷体" w:hAnsi="楷体" w:eastAsia="楷体" w:cs="楷体"/>
          <w:b/>
          <w:bCs/>
          <w:i w:val="0"/>
          <w:caps w:val="0"/>
          <w:color w:val="000000" w:themeColor="text1"/>
          <w:spacing w:val="0"/>
          <w:sz w:val="32"/>
          <w:szCs w:val="32"/>
          <w:shd w:val="clear" w:fill="FFFFFF"/>
          <w:lang w:val="en-US" w:eastAsia="zh-CN"/>
        </w:rPr>
      </w:pPr>
      <w:r>
        <w:rPr>
          <w:rFonts w:hint="eastAsia" w:ascii="楷体" w:hAnsi="楷体" w:eastAsia="楷体" w:cs="楷体"/>
          <w:b/>
          <w:bCs/>
          <w:i w:val="0"/>
          <w:caps w:val="0"/>
          <w:color w:val="000000" w:themeColor="text1"/>
          <w:spacing w:val="0"/>
          <w:sz w:val="32"/>
          <w:szCs w:val="32"/>
          <w:shd w:val="clear" w:fill="FFFFFF"/>
          <w:lang w:val="en-US" w:eastAsia="zh-CN"/>
        </w:rPr>
        <w:t>（二）农机安全成绩斐然</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强化责任机制，制定</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《2020年农机安全生产计划执法实施方案》，签订</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农机安全生产责任状，严格落实</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安全生产“党政同责、一岗双责、</w:t>
      </w:r>
      <w:r>
        <w:rPr>
          <w:rFonts w:hint="eastAsia" w:ascii="仿宋_GB2312" w:hAnsi="仿宋_GB2312" w:eastAsia="仿宋_GB2312" w:cs="仿宋_GB2312"/>
          <w:sz w:val="32"/>
          <w:szCs w:val="32"/>
          <w:lang w:eastAsia="zh-CN"/>
        </w:rPr>
        <w:t>齐抓共管、</w:t>
      </w:r>
      <w:r>
        <w:rPr>
          <w:rFonts w:hint="eastAsia" w:ascii="仿宋_GB2312" w:hAnsi="仿宋_GB2312" w:eastAsia="仿宋_GB2312" w:cs="仿宋_GB2312"/>
          <w:sz w:val="32"/>
          <w:szCs w:val="32"/>
        </w:rPr>
        <w:t>失职追责”和“三个必须”的工作要求。</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开展农机年度审验，检验中严格执行检验标准和程序，按照“谁检审、谁签字、谁负责”的原则，做到见机、见人、见证“三见面”，</w:t>
      </w:r>
      <w:r>
        <w:rPr>
          <w:rFonts w:hint="eastAsia" w:ascii="仿宋_GB2312" w:hAnsi="仿宋_GB2312" w:eastAsia="仿宋_GB2312" w:cs="仿宋_GB2312"/>
          <w:sz w:val="32"/>
          <w:szCs w:val="32"/>
          <w:lang w:eastAsia="zh-CN"/>
        </w:rPr>
        <w:t>全</w:t>
      </w:r>
      <w:r>
        <w:rPr>
          <w:rFonts w:hint="eastAsia" w:ascii="仿宋_GB2312" w:hAnsi="仿宋_GB2312" w:eastAsia="仿宋_GB2312" w:cs="仿宋_GB2312"/>
          <w:sz w:val="32"/>
          <w:szCs w:val="32"/>
        </w:rPr>
        <w:t>年共检验拖拉机</w:t>
      </w:r>
      <w:r>
        <w:rPr>
          <w:rFonts w:hint="eastAsia" w:ascii="仿宋_GB2312" w:hAnsi="仿宋_GB2312" w:eastAsia="仿宋_GB2312" w:cs="仿宋_GB2312"/>
          <w:sz w:val="32"/>
          <w:szCs w:val="32"/>
          <w:lang w:val="en-US" w:eastAsia="zh-CN"/>
        </w:rPr>
        <w:t>1192</w:t>
      </w:r>
      <w:r>
        <w:rPr>
          <w:rFonts w:hint="eastAsia" w:ascii="仿宋_GB2312" w:hAnsi="仿宋_GB2312" w:eastAsia="仿宋_GB2312" w:cs="仿宋_GB2312"/>
          <w:sz w:val="32"/>
          <w:szCs w:val="32"/>
        </w:rPr>
        <w:t>台，新注册拖拉机</w:t>
      </w:r>
      <w:r>
        <w:rPr>
          <w:rFonts w:hint="eastAsia" w:ascii="仿宋_GB2312" w:hAnsi="仿宋_GB2312" w:eastAsia="仿宋_GB2312" w:cs="仿宋_GB2312"/>
          <w:sz w:val="32"/>
          <w:szCs w:val="32"/>
          <w:lang w:val="en-US" w:eastAsia="zh-CN"/>
        </w:rPr>
        <w:t>358</w:t>
      </w:r>
      <w:r>
        <w:rPr>
          <w:rFonts w:hint="eastAsia" w:ascii="仿宋_GB2312" w:hAnsi="仿宋_GB2312" w:eastAsia="仿宋_GB2312" w:cs="仿宋_GB2312"/>
          <w:sz w:val="32"/>
          <w:szCs w:val="32"/>
        </w:rPr>
        <w:t>台、收割机</w:t>
      </w:r>
      <w:r>
        <w:rPr>
          <w:rFonts w:hint="eastAsia" w:ascii="仿宋_GB2312" w:hAnsi="仿宋_GB2312" w:eastAsia="仿宋_GB2312" w:cs="仿宋_GB2312"/>
          <w:sz w:val="32"/>
          <w:szCs w:val="32"/>
          <w:lang w:val="en-US" w:eastAsia="zh-CN"/>
        </w:rPr>
        <w:t>198</w:t>
      </w:r>
      <w:r>
        <w:rPr>
          <w:rFonts w:hint="eastAsia" w:ascii="仿宋_GB2312" w:hAnsi="仿宋_GB2312" w:eastAsia="仿宋_GB2312" w:cs="仿宋_GB2312"/>
          <w:sz w:val="32"/>
          <w:szCs w:val="32"/>
        </w:rPr>
        <w:t>台。</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eastAsia="zh-CN"/>
        </w:rPr>
        <w:t>变型</w:t>
      </w:r>
      <w:r>
        <w:rPr>
          <w:rFonts w:hint="eastAsia" w:ascii="仿宋_GB2312" w:hAnsi="仿宋_GB2312" w:eastAsia="仿宋_GB2312" w:cs="仿宋_GB2312"/>
          <w:sz w:val="32"/>
          <w:szCs w:val="32"/>
        </w:rPr>
        <w:t>拖拉机顽瘴痼疾集中整治行动，</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共摸排</w:t>
      </w:r>
      <w:r>
        <w:rPr>
          <w:rFonts w:hint="eastAsia" w:ascii="仿宋_GB2312" w:hAnsi="仿宋_GB2312" w:eastAsia="仿宋_GB2312" w:cs="仿宋_GB2312"/>
          <w:sz w:val="32"/>
          <w:szCs w:val="32"/>
          <w:lang w:eastAsia="zh-CN"/>
        </w:rPr>
        <w:t>变型</w:t>
      </w:r>
      <w:r>
        <w:rPr>
          <w:rFonts w:hint="eastAsia" w:ascii="仿宋_GB2312" w:hAnsi="仿宋_GB2312" w:eastAsia="仿宋_GB2312" w:cs="仿宋_GB2312"/>
          <w:sz w:val="32"/>
          <w:szCs w:val="32"/>
        </w:rPr>
        <w:t>拖拉机顽瘴痼疾隐569台，</w:t>
      </w:r>
      <w:r>
        <w:rPr>
          <w:rFonts w:hint="eastAsia" w:ascii="仿宋_GB2312" w:hAnsi="仿宋_GB2312" w:eastAsia="仿宋_GB2312" w:cs="仿宋_GB2312"/>
          <w:sz w:val="32"/>
          <w:szCs w:val="32"/>
          <w:lang w:eastAsia="zh-CN"/>
        </w:rPr>
        <w:t>通过近八个月的集中整治行动，截止目前</w:t>
      </w:r>
      <w:r>
        <w:rPr>
          <w:rFonts w:hint="eastAsia" w:ascii="仿宋_GB2312" w:hAnsi="仿宋_GB2312" w:eastAsia="仿宋_GB2312" w:cs="仿宋_GB2312"/>
          <w:sz w:val="32"/>
          <w:szCs w:val="32"/>
          <w:lang w:val="en-US" w:eastAsia="zh-CN"/>
        </w:rPr>
        <w:t>全县569台变型拖拉机顽瘴痼疾全部清零，其中补检变形拖拉机20台，灭失或强制报废并注销号牌的变形拖拉机549台，报废淘汰率达87.57%，超额完成了省、市专项整治办下达的整治任务。</w:t>
      </w:r>
      <w:r>
        <w:rPr>
          <w:rFonts w:hint="eastAsia" w:ascii="仿宋_GB2312" w:hAnsi="仿宋_GB2312" w:eastAsia="仿宋_GB2312" w:cs="仿宋_GB2312"/>
          <w:sz w:val="32"/>
          <w:szCs w:val="32"/>
          <w:lang w:eastAsia="zh-CN"/>
        </w:rPr>
        <w:t>通过各种整治行动和执法打击，全县农机违法违规行为明显减少，安全形势逐步好转，全年</w:t>
      </w:r>
      <w:r>
        <w:rPr>
          <w:rFonts w:hint="eastAsia" w:ascii="仿宋_GB2312" w:hAnsi="仿宋_GB2312" w:eastAsia="仿宋_GB2312" w:cs="仿宋_GB2312"/>
          <w:sz w:val="32"/>
          <w:szCs w:val="32"/>
        </w:rPr>
        <w:t>未发生一起人员死亡的农机安全生产事故。</w:t>
      </w:r>
    </w:p>
    <w:p>
      <w:pPr>
        <w:numPr>
          <w:ilvl w:val="0"/>
          <w:numId w:val="0"/>
        </w:numPr>
        <w:ind w:firstLine="643" w:firstLineChars="200"/>
        <w:rPr>
          <w:rFonts w:hint="eastAsia" w:ascii="楷体" w:hAnsi="楷体" w:eastAsia="楷体"/>
          <w:b/>
          <w:bCs/>
          <w:sz w:val="32"/>
          <w:szCs w:val="32"/>
          <w:lang w:eastAsia="zh-CN"/>
        </w:rPr>
      </w:pPr>
      <w:r>
        <w:rPr>
          <w:rFonts w:hint="eastAsia" w:ascii="楷体" w:hAnsi="楷体" w:eastAsia="楷体"/>
          <w:b/>
          <w:bCs/>
          <w:sz w:val="32"/>
          <w:szCs w:val="32"/>
          <w:lang w:eastAsia="zh-CN"/>
        </w:rPr>
        <w:t>（三）</w:t>
      </w:r>
      <w:r>
        <w:rPr>
          <w:rFonts w:hint="eastAsia" w:ascii="楷体" w:hAnsi="楷体" w:eastAsia="楷体"/>
          <w:b/>
          <w:bCs/>
          <w:sz w:val="32"/>
          <w:szCs w:val="32"/>
        </w:rPr>
        <w:t>科教推广</w:t>
      </w:r>
      <w:r>
        <w:rPr>
          <w:rFonts w:hint="eastAsia" w:ascii="楷体" w:hAnsi="楷体" w:eastAsia="楷体"/>
          <w:b/>
          <w:bCs/>
          <w:sz w:val="32"/>
          <w:szCs w:val="32"/>
          <w:lang w:eastAsia="zh-CN"/>
        </w:rPr>
        <w:t>规范高效</w:t>
      </w:r>
    </w:p>
    <w:p>
      <w:pPr>
        <w:ind w:firstLine="624"/>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农机购置补贴规范有</w:t>
      </w:r>
      <w:r>
        <w:rPr>
          <w:rFonts w:hint="eastAsia" w:ascii="仿宋_GB2312" w:hAnsi="仿宋_GB2312" w:eastAsia="仿宋_GB2312" w:cs="仿宋_GB2312"/>
          <w:sz w:val="32"/>
          <w:szCs w:val="32"/>
          <w:lang w:val="en-US" w:eastAsia="zh-CN"/>
        </w:rPr>
        <w:t>序</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年初</w:t>
      </w:r>
      <w:r>
        <w:rPr>
          <w:rFonts w:hint="eastAsia" w:ascii="仿宋_GB2312" w:hAnsi="仿宋_GB2312" w:eastAsia="仿宋_GB2312" w:cs="仿宋_GB2312"/>
          <w:sz w:val="32"/>
          <w:szCs w:val="32"/>
        </w:rPr>
        <w:t>按照省、市要求制定了《桃源县2020年农机购置补贴实施方案》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印发了《湖南省2020年农机购置补贴机具种类范围和机具补贴额一览表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做到及时受理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应补尽补。</w:t>
      </w:r>
      <w:r>
        <w:rPr>
          <w:rFonts w:hint="eastAsia" w:ascii="仿宋_GB2312" w:hAnsi="仿宋_GB2312" w:eastAsia="仿宋_GB2312" w:cs="仿宋_GB2312"/>
          <w:color w:val="000000"/>
          <w:sz w:val="32"/>
          <w:szCs w:val="32"/>
        </w:rPr>
        <w:t>全县共受理补贴申请1207份，受益农户735户，补贴机具1312台，总补贴额1791.2181万元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其中报废更新补贴为59.11万元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与去年同期相比净增745.3421万元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b w:val="0"/>
          <w:bCs w:val="0"/>
          <w:color w:val="000000" w:themeColor="text1"/>
          <w:sz w:val="32"/>
          <w:szCs w:val="32"/>
        </w:rPr>
        <w:t>农机推广</w:t>
      </w:r>
      <w:r>
        <w:rPr>
          <w:rFonts w:hint="eastAsia" w:ascii="仿宋_GB2312" w:hAnsi="仿宋_GB2312" w:eastAsia="仿宋_GB2312" w:cs="仿宋_GB2312"/>
          <w:b w:val="0"/>
          <w:bCs w:val="0"/>
          <w:color w:val="000000" w:themeColor="text1"/>
          <w:sz w:val="32"/>
          <w:szCs w:val="32"/>
          <w:lang w:eastAsia="zh-CN"/>
        </w:rPr>
        <w:t>效果明显，年初</w:t>
      </w:r>
      <w:r>
        <w:rPr>
          <w:rFonts w:hint="eastAsia" w:ascii="仿宋_GB2312" w:hAnsi="仿宋_GB2312" w:eastAsia="仿宋_GB2312" w:cs="仿宋_GB2312"/>
          <w:sz w:val="32"/>
          <w:szCs w:val="32"/>
        </w:rPr>
        <w:t>制定</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农机推广工作方案</w:t>
      </w:r>
      <w:r>
        <w:rPr>
          <w:rFonts w:hint="eastAsia" w:ascii="仿宋_GB2312" w:hAnsi="仿宋_GB2312" w:eastAsia="仿宋_GB2312" w:cs="仿宋_GB2312"/>
          <w:sz w:val="32"/>
          <w:szCs w:val="32"/>
          <w:lang w:eastAsia="zh-CN"/>
        </w:rPr>
        <w:t>，旨在大力提高水稻油菜生产全程机械化水平。分别在漳江、</w:t>
      </w:r>
      <w:r>
        <w:rPr>
          <w:rFonts w:hint="eastAsia" w:ascii="仿宋_GB2312" w:hAnsi="仿宋_GB2312" w:eastAsia="仿宋_GB2312" w:cs="仿宋_GB2312"/>
          <w:sz w:val="32"/>
          <w:szCs w:val="32"/>
        </w:rPr>
        <w:t>陬市</w:t>
      </w:r>
      <w:r>
        <w:rPr>
          <w:rFonts w:hint="eastAsia" w:ascii="仿宋_GB2312" w:hAnsi="仿宋_GB2312" w:eastAsia="仿宋_GB2312" w:cs="仿宋_GB2312"/>
          <w:sz w:val="32"/>
          <w:szCs w:val="32"/>
          <w:lang w:eastAsia="zh-CN"/>
        </w:rPr>
        <w:t>、枫树、泥窝潭和木塘垸等乡镇举办水稻机插机</w:t>
      </w:r>
      <w:r>
        <w:rPr>
          <w:rFonts w:hint="eastAsia" w:ascii="仿宋_GB2312" w:hAnsi="仿宋_GB2312" w:eastAsia="仿宋_GB2312" w:cs="仿宋_GB2312"/>
          <w:sz w:val="32"/>
          <w:szCs w:val="32"/>
        </w:rPr>
        <w:t>抛</w:t>
      </w:r>
      <w:r>
        <w:rPr>
          <w:rFonts w:hint="eastAsia" w:ascii="仿宋_GB2312" w:hAnsi="仿宋_GB2312" w:eastAsia="仿宋_GB2312" w:cs="仿宋_GB2312"/>
          <w:sz w:val="32"/>
          <w:szCs w:val="32"/>
          <w:lang w:eastAsia="zh-CN"/>
        </w:rPr>
        <w:t>现场</w:t>
      </w:r>
      <w:r>
        <w:rPr>
          <w:rFonts w:hint="eastAsia" w:ascii="仿宋_GB2312" w:hAnsi="仿宋_GB2312" w:eastAsia="仿宋_GB2312" w:cs="仿宋_GB2312"/>
          <w:sz w:val="32"/>
          <w:szCs w:val="32"/>
        </w:rPr>
        <w:t>推广演示</w:t>
      </w:r>
      <w:r>
        <w:rPr>
          <w:rFonts w:hint="eastAsia" w:ascii="仿宋_GB2312" w:hAnsi="仿宋_GB2312" w:eastAsia="仿宋_GB2312" w:cs="仿宋_GB2312"/>
          <w:sz w:val="32"/>
          <w:szCs w:val="32"/>
          <w:lang w:eastAsia="zh-CN"/>
        </w:rPr>
        <w:t>会</w:t>
      </w:r>
      <w:r>
        <w:rPr>
          <w:rFonts w:hint="eastAsia" w:ascii="仿宋_GB2312" w:hAnsi="仿宋_GB2312" w:eastAsia="仿宋_GB2312" w:cs="仿宋_GB2312"/>
          <w:sz w:val="32"/>
          <w:szCs w:val="32"/>
          <w:lang w:val="en-US" w:eastAsia="zh-CN"/>
        </w:rPr>
        <w:t>7次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推广</w:t>
      </w:r>
      <w:r>
        <w:rPr>
          <w:rFonts w:hint="eastAsia" w:ascii="仿宋_GB2312" w:hAnsi="仿宋_GB2312" w:eastAsia="仿宋_GB2312" w:cs="仿宋_GB2312"/>
          <w:sz w:val="32"/>
          <w:szCs w:val="32"/>
          <w:lang w:eastAsia="zh-CN"/>
        </w:rPr>
        <w:t>插秧机</w:t>
      </w:r>
      <w:r>
        <w:rPr>
          <w:rFonts w:hint="eastAsia" w:ascii="仿宋_GB2312" w:hAnsi="仿宋_GB2312" w:eastAsia="仿宋_GB2312" w:cs="仿宋_GB2312"/>
          <w:sz w:val="32"/>
          <w:szCs w:val="32"/>
        </w:rPr>
        <w:t>有序抛秧机</w:t>
      </w:r>
      <w:r>
        <w:rPr>
          <w:rFonts w:hint="eastAsia"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rPr>
        <w:t>台。</w:t>
      </w:r>
      <w:r>
        <w:rPr>
          <w:rFonts w:hint="eastAsia" w:ascii="仿宋_GB2312" w:hAnsi="仿宋_GB2312" w:eastAsia="仿宋_GB2312" w:cs="仿宋_GB2312"/>
          <w:sz w:val="32"/>
          <w:szCs w:val="32"/>
          <w:lang w:eastAsia="zh-CN"/>
        </w:rPr>
        <w:t>举办新进补贴机具</w:t>
      </w:r>
      <w:r>
        <w:rPr>
          <w:rFonts w:hint="eastAsia" w:ascii="仿宋_GB2312" w:hAnsi="仿宋_GB2312" w:eastAsia="仿宋_GB2312" w:cs="仿宋_GB2312"/>
          <w:color w:val="000000"/>
          <w:sz w:val="32"/>
          <w:szCs w:val="32"/>
        </w:rPr>
        <w:t>评价演示三次</w:t>
      </w:r>
      <w:r>
        <w:rPr>
          <w:rFonts w:hint="eastAsia" w:ascii="仿宋_GB2312" w:hAnsi="仿宋_GB2312" w:eastAsia="仿宋_GB2312" w:cs="仿宋_GB2312"/>
          <w:color w:val="000000"/>
          <w:sz w:val="32"/>
          <w:szCs w:val="32"/>
          <w:lang w:eastAsia="zh-CN"/>
        </w:rPr>
        <w:t>，分别是</w:t>
      </w:r>
      <w:r>
        <w:rPr>
          <w:rFonts w:hint="eastAsia" w:ascii="仿宋_GB2312" w:hAnsi="仿宋_GB2312" w:eastAsia="仿宋_GB2312" w:cs="仿宋_GB2312"/>
          <w:sz w:val="32"/>
          <w:szCs w:val="32"/>
        </w:rPr>
        <w:t>湖北天池机械股份公司生产的</w:t>
      </w:r>
      <w:r>
        <w:rPr>
          <w:rFonts w:hint="eastAsia" w:ascii="仿宋_GB2312" w:hAnsi="仿宋_GB2312" w:eastAsia="仿宋_GB2312" w:cs="仿宋_GB2312"/>
          <w:color w:val="000000"/>
          <w:sz w:val="32"/>
          <w:szCs w:val="32"/>
        </w:rPr>
        <w:t>茶叶烘干机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湖北国炬农业机械科技股份有限公司生产的</w:t>
      </w:r>
      <w:r>
        <w:rPr>
          <w:rFonts w:hint="eastAsia" w:ascii="仿宋_GB2312" w:hAnsi="仿宋_GB2312" w:eastAsia="仿宋_GB2312" w:cs="仿宋_GB2312"/>
          <w:bCs/>
          <w:sz w:val="32"/>
          <w:szCs w:val="32"/>
        </w:rPr>
        <w:t>水果清洗打蜡机</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sz w:val="32"/>
          <w:szCs w:val="32"/>
        </w:rPr>
        <w:t>山东省潍坊市昱坤农业机械有限公司生产的拖拉机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color w:val="000000" w:themeColor="text1"/>
          <w:sz w:val="32"/>
          <w:szCs w:val="32"/>
          <w:lang w:val="en-US" w:eastAsia="zh-CN"/>
        </w:rPr>
        <w:t>三是</w:t>
      </w:r>
      <w:r>
        <w:rPr>
          <w:rFonts w:hint="eastAsia" w:ascii="仿宋_GB2312" w:hAnsi="仿宋_GB2312" w:eastAsia="仿宋_GB2312" w:cs="仿宋_GB2312"/>
          <w:color w:val="000000" w:themeColor="text1"/>
          <w:sz w:val="32"/>
          <w:szCs w:val="32"/>
          <w:lang w:eastAsia="zh-CN"/>
        </w:rPr>
        <w:t>农机培训紧跟时代，按照</w:t>
      </w:r>
      <w:r>
        <w:rPr>
          <w:rFonts w:hint="eastAsia" w:ascii="仿宋_GB2312" w:hAnsi="仿宋_GB2312" w:eastAsia="仿宋_GB2312" w:cs="仿宋_GB2312"/>
          <w:color w:val="000000" w:themeColor="text1"/>
          <w:sz w:val="32"/>
          <w:szCs w:val="32"/>
        </w:rPr>
        <w:t>“实际、实用、实效”</w:t>
      </w:r>
      <w:r>
        <w:rPr>
          <w:rFonts w:hint="eastAsia" w:ascii="仿宋_GB2312" w:hAnsi="仿宋_GB2312" w:eastAsia="仿宋_GB2312" w:cs="仿宋_GB2312"/>
          <w:color w:val="000000" w:themeColor="text1"/>
          <w:sz w:val="32"/>
          <w:szCs w:val="32"/>
          <w:lang w:eastAsia="zh-CN"/>
        </w:rPr>
        <w:t>的</w:t>
      </w:r>
      <w:r>
        <w:rPr>
          <w:rFonts w:hint="eastAsia" w:ascii="仿宋_GB2312" w:hAnsi="仿宋_GB2312" w:eastAsia="仿宋_GB2312" w:cs="仿宋_GB2312"/>
          <w:color w:val="000000" w:themeColor="text1"/>
          <w:sz w:val="32"/>
          <w:szCs w:val="32"/>
        </w:rPr>
        <w:t>原则，创新培训形式，不断提升</w:t>
      </w:r>
      <w:r>
        <w:rPr>
          <w:rFonts w:hint="eastAsia" w:ascii="仿宋_GB2312" w:hAnsi="仿宋_GB2312" w:eastAsia="仿宋_GB2312" w:cs="仿宋_GB2312"/>
          <w:color w:val="000000" w:themeColor="text1"/>
          <w:sz w:val="32"/>
          <w:szCs w:val="32"/>
          <w:lang w:eastAsia="zh-CN"/>
        </w:rPr>
        <w:t>机手操作</w:t>
      </w:r>
      <w:r>
        <w:rPr>
          <w:rFonts w:hint="eastAsia" w:ascii="仿宋_GB2312" w:hAnsi="仿宋_GB2312" w:eastAsia="仿宋_GB2312" w:cs="仿宋_GB2312"/>
          <w:color w:val="000000" w:themeColor="text1"/>
          <w:sz w:val="32"/>
          <w:szCs w:val="32"/>
        </w:rPr>
        <w:t>水平</w:t>
      </w:r>
      <w:r>
        <w:rPr>
          <w:rFonts w:hint="eastAsia" w:ascii="仿宋_GB2312" w:hAnsi="仿宋_GB2312" w:eastAsia="仿宋_GB2312" w:cs="仿宋_GB2312"/>
          <w:color w:val="000000" w:themeColor="text1"/>
          <w:sz w:val="32"/>
          <w:szCs w:val="32"/>
          <w:lang w:eastAsia="zh-CN"/>
        </w:rPr>
        <w:t>和安全意识，结合农机集中检验，全年培训农机操作手</w:t>
      </w:r>
      <w:r>
        <w:rPr>
          <w:rFonts w:hint="eastAsia" w:ascii="仿宋_GB2312" w:hAnsi="仿宋_GB2312" w:eastAsia="仿宋_GB2312" w:cs="仿宋_GB2312"/>
          <w:color w:val="000000" w:themeColor="text1"/>
          <w:sz w:val="32"/>
          <w:szCs w:val="32"/>
          <w:lang w:val="en-US" w:eastAsia="zh-CN"/>
        </w:rPr>
        <w:t>1987人次。</w:t>
      </w:r>
    </w:p>
    <w:p>
      <w:pPr>
        <w:numPr>
          <w:ilvl w:val="0"/>
          <w:numId w:val="0"/>
        </w:numPr>
        <w:ind w:firstLine="643" w:firstLineChars="200"/>
        <w:rPr>
          <w:rFonts w:hint="eastAsia" w:ascii="楷体" w:hAnsi="楷体" w:eastAsia="楷体" w:cs="楷体"/>
          <w:b/>
          <w:bCs/>
          <w:color w:val="000000" w:themeColor="text1"/>
          <w:sz w:val="32"/>
          <w:szCs w:val="32"/>
          <w:lang w:val="en-US" w:eastAsia="zh-CN"/>
        </w:rPr>
      </w:pPr>
      <w:r>
        <w:rPr>
          <w:rFonts w:hint="eastAsia" w:ascii="楷体" w:hAnsi="楷体" w:eastAsia="楷体" w:cs="楷体"/>
          <w:b/>
          <w:bCs/>
          <w:color w:val="000000" w:themeColor="text1"/>
          <w:sz w:val="32"/>
          <w:szCs w:val="32"/>
          <w:lang w:val="en-US" w:eastAsia="zh-CN"/>
        </w:rPr>
        <w:t>（四）农机服务成果丰硕</w:t>
      </w:r>
    </w:p>
    <w:p>
      <w:pPr>
        <w:widowControl/>
        <w:shd w:val="clear" w:color="auto" w:fill="FFFFFF"/>
        <w:spacing w:line="360" w:lineRule="auto"/>
        <w:ind w:firstLine="561"/>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000000" w:themeColor="text1"/>
          <w:sz w:val="32"/>
          <w:szCs w:val="32"/>
        </w:rPr>
        <w:t>一是</w:t>
      </w:r>
      <w:r>
        <w:rPr>
          <w:rFonts w:hint="eastAsia" w:ascii="仿宋_GB2312" w:hAnsi="仿宋_GB2312" w:eastAsia="仿宋_GB2312" w:cs="仿宋_GB2312"/>
          <w:color w:val="000000" w:themeColor="text1"/>
          <w:sz w:val="32"/>
          <w:szCs w:val="32"/>
          <w:lang w:eastAsia="zh-CN"/>
        </w:rPr>
        <w:t>开展</w:t>
      </w:r>
      <w:r>
        <w:rPr>
          <w:rFonts w:hint="eastAsia" w:ascii="仿宋_GB2312" w:hAnsi="仿宋_GB2312" w:eastAsia="仿宋_GB2312" w:cs="仿宋_GB2312"/>
          <w:color w:val="000000" w:themeColor="text1"/>
          <w:sz w:val="32"/>
          <w:szCs w:val="32"/>
        </w:rPr>
        <w:t>农机</w:t>
      </w:r>
      <w:r>
        <w:rPr>
          <w:rFonts w:hint="eastAsia" w:ascii="仿宋_GB2312" w:hAnsi="仿宋_GB2312" w:eastAsia="仿宋_GB2312" w:cs="仿宋_GB2312"/>
          <w:color w:val="000000" w:themeColor="text1"/>
          <w:sz w:val="32"/>
          <w:szCs w:val="32"/>
          <w:lang w:eastAsia="zh-CN"/>
        </w:rPr>
        <w:t>指导和服务</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kern w:val="0"/>
          <w:sz w:val="32"/>
          <w:szCs w:val="32"/>
          <w:lang w:val="en-US" w:eastAsia="zh-CN" w:bidi="ar-SA"/>
        </w:rPr>
        <w:t>3月份</w:t>
      </w:r>
      <w:r>
        <w:rPr>
          <w:rFonts w:hint="eastAsia" w:ascii="仿宋_GB2312" w:hAnsi="仿宋_GB2312" w:eastAsia="仿宋_GB2312" w:cs="仿宋_GB2312"/>
          <w:color w:val="000000" w:themeColor="text1"/>
          <w:sz w:val="32"/>
          <w:szCs w:val="32"/>
        </w:rPr>
        <w:t>成立</w:t>
      </w:r>
      <w:r>
        <w:rPr>
          <w:rFonts w:hint="eastAsia" w:ascii="仿宋_GB2312" w:hAnsi="仿宋_GB2312" w:eastAsia="仿宋_GB2312" w:cs="仿宋_GB2312"/>
          <w:color w:val="000000" w:themeColor="text1"/>
          <w:sz w:val="32"/>
          <w:szCs w:val="32"/>
          <w:lang w:eastAsia="zh-CN"/>
        </w:rPr>
        <w:t>了</w:t>
      </w:r>
      <w:r>
        <w:rPr>
          <w:rFonts w:hint="eastAsia" w:ascii="仿宋_GB2312" w:hAnsi="仿宋_GB2312" w:eastAsia="仿宋_GB2312" w:cs="仿宋_GB2312"/>
          <w:color w:val="000000" w:themeColor="text1"/>
          <w:sz w:val="32"/>
          <w:szCs w:val="32"/>
        </w:rPr>
        <w:t>农机春耕</w:t>
      </w:r>
      <w:r>
        <w:rPr>
          <w:rFonts w:hint="eastAsia" w:ascii="仿宋_GB2312" w:hAnsi="仿宋_GB2312" w:eastAsia="仿宋_GB2312" w:cs="仿宋_GB2312"/>
          <w:color w:val="000000" w:themeColor="text1"/>
          <w:sz w:val="32"/>
          <w:szCs w:val="32"/>
          <w:lang w:eastAsia="zh-CN"/>
        </w:rPr>
        <w:t>服务</w:t>
      </w:r>
      <w:r>
        <w:rPr>
          <w:rFonts w:hint="eastAsia" w:ascii="仿宋_GB2312" w:hAnsi="仿宋_GB2312" w:eastAsia="仿宋_GB2312" w:cs="仿宋_GB2312"/>
          <w:color w:val="000000" w:themeColor="text1"/>
          <w:sz w:val="32"/>
          <w:szCs w:val="32"/>
        </w:rPr>
        <w:t>工作领导小组，</w:t>
      </w:r>
      <w:r>
        <w:rPr>
          <w:rFonts w:hint="eastAsia" w:ascii="仿宋_GB2312" w:hAnsi="仿宋_GB2312" w:eastAsia="仿宋_GB2312" w:cs="仿宋_GB2312"/>
          <w:color w:val="000000" w:themeColor="text1"/>
          <w:sz w:val="32"/>
          <w:szCs w:val="32"/>
          <w:lang w:eastAsia="zh-CN"/>
        </w:rPr>
        <w:t>多次组织技术人员深入</w:t>
      </w:r>
      <w:r>
        <w:rPr>
          <w:rFonts w:hint="eastAsia" w:ascii="仿宋_GB2312" w:hAnsi="仿宋_GB2312" w:eastAsia="仿宋_GB2312" w:cs="仿宋_GB2312"/>
          <w:color w:val="000000" w:themeColor="text1"/>
          <w:kern w:val="0"/>
          <w:sz w:val="32"/>
          <w:szCs w:val="32"/>
          <w:lang w:val="en-US" w:eastAsia="zh-CN" w:bidi="ar-SA"/>
        </w:rPr>
        <w:t>乡镇开展技术指导和维修服务，协调</w:t>
      </w:r>
      <w:r>
        <w:rPr>
          <w:rFonts w:hint="eastAsia" w:ascii="仿宋_GB2312" w:hAnsi="仿宋_GB2312" w:eastAsia="仿宋_GB2312" w:cs="仿宋_GB2312"/>
          <w:color w:val="000000" w:themeColor="text1"/>
          <w:kern w:val="2"/>
          <w:sz w:val="32"/>
          <w:szCs w:val="32"/>
          <w:lang w:eastAsia="zh-CN"/>
        </w:rPr>
        <w:t>督促</w:t>
      </w:r>
      <w:r>
        <w:rPr>
          <w:rFonts w:hint="eastAsia" w:ascii="仿宋_GB2312" w:hAnsi="仿宋_GB2312" w:eastAsia="仿宋_GB2312" w:cs="仿宋_GB2312"/>
          <w:color w:val="000000" w:themeColor="text1"/>
          <w:kern w:val="2"/>
          <w:sz w:val="32"/>
          <w:szCs w:val="32"/>
        </w:rPr>
        <w:t>农机经销商备足农机设备及其零配件，保障春耕</w:t>
      </w:r>
      <w:r>
        <w:rPr>
          <w:rFonts w:hint="eastAsia" w:ascii="仿宋_GB2312" w:hAnsi="仿宋_GB2312" w:eastAsia="仿宋_GB2312" w:cs="仿宋_GB2312"/>
          <w:color w:val="000000" w:themeColor="text1"/>
          <w:kern w:val="2"/>
          <w:sz w:val="32"/>
          <w:szCs w:val="32"/>
          <w:lang w:eastAsia="zh-CN"/>
        </w:rPr>
        <w:t>生产</w:t>
      </w:r>
      <w:r>
        <w:rPr>
          <w:rFonts w:hint="eastAsia" w:ascii="仿宋_GB2312" w:hAnsi="仿宋_GB2312" w:eastAsia="仿宋_GB2312" w:cs="仿宋_GB2312"/>
          <w:color w:val="000000" w:themeColor="text1"/>
          <w:kern w:val="2"/>
          <w:sz w:val="32"/>
          <w:szCs w:val="32"/>
        </w:rPr>
        <w:t>。</w:t>
      </w:r>
      <w:r>
        <w:rPr>
          <w:rFonts w:hint="eastAsia" w:ascii="仿宋_GB2312" w:hAnsi="仿宋_GB2312" w:eastAsia="仿宋_GB2312" w:cs="仿宋_GB2312"/>
          <w:color w:val="000000" w:themeColor="text1"/>
          <w:sz w:val="32"/>
          <w:szCs w:val="32"/>
          <w:lang w:val="en-US" w:eastAsia="zh-CN"/>
        </w:rPr>
        <w:t>2</w:t>
      </w:r>
      <w:r>
        <w:rPr>
          <w:rFonts w:hint="eastAsia" w:ascii="仿宋_GB2312" w:hAnsi="仿宋_GB2312" w:eastAsia="仿宋_GB2312" w:cs="仿宋_GB2312"/>
          <w:color w:val="000000" w:themeColor="text1"/>
          <w:sz w:val="32"/>
          <w:szCs w:val="32"/>
        </w:rPr>
        <w:t>月</w:t>
      </w:r>
      <w:r>
        <w:rPr>
          <w:rFonts w:hint="eastAsia" w:ascii="仿宋_GB2312" w:hAnsi="仿宋_GB2312" w:eastAsia="仿宋_GB2312" w:cs="仿宋_GB2312"/>
          <w:color w:val="000000" w:themeColor="text1"/>
          <w:sz w:val="32"/>
          <w:szCs w:val="32"/>
          <w:lang w:val="en-US" w:eastAsia="zh-CN"/>
        </w:rPr>
        <w:t>20</w:t>
      </w:r>
      <w:r>
        <w:rPr>
          <w:rFonts w:hint="eastAsia" w:ascii="仿宋_GB2312" w:hAnsi="仿宋_GB2312" w:eastAsia="仿宋_GB2312" w:cs="仿宋_GB2312"/>
          <w:color w:val="000000" w:themeColor="text1"/>
          <w:sz w:val="32"/>
          <w:szCs w:val="32"/>
        </w:rPr>
        <w:t>日</w:t>
      </w:r>
      <w:r>
        <w:rPr>
          <w:rFonts w:hint="eastAsia" w:ascii="仿宋_GB2312" w:hAnsi="仿宋_GB2312" w:eastAsia="仿宋_GB2312" w:cs="仿宋_GB2312"/>
          <w:color w:val="000000" w:themeColor="text1"/>
          <w:sz w:val="32"/>
          <w:szCs w:val="32"/>
          <w:lang w:eastAsia="zh-CN"/>
        </w:rPr>
        <w:t>新华社记者</w:t>
      </w:r>
      <w:r>
        <w:rPr>
          <w:rFonts w:hint="eastAsia" w:ascii="仿宋_GB2312" w:hAnsi="仿宋_GB2312" w:eastAsia="仿宋_GB2312" w:cs="仿宋_GB2312"/>
          <w:color w:val="000000" w:themeColor="text1"/>
          <w:sz w:val="32"/>
          <w:szCs w:val="32"/>
        </w:rPr>
        <w:t>对我县春耕</w:t>
      </w:r>
      <w:r>
        <w:rPr>
          <w:rFonts w:hint="eastAsia" w:ascii="仿宋_GB2312" w:hAnsi="仿宋_GB2312" w:eastAsia="仿宋_GB2312" w:cs="仿宋_GB2312"/>
          <w:color w:val="000000" w:themeColor="text1"/>
          <w:sz w:val="32"/>
          <w:szCs w:val="32"/>
          <w:lang w:eastAsia="zh-CN"/>
        </w:rPr>
        <w:t>生产</w:t>
      </w:r>
      <w:r>
        <w:rPr>
          <w:rFonts w:hint="eastAsia" w:ascii="仿宋_GB2312" w:hAnsi="仿宋_GB2312" w:eastAsia="仿宋_GB2312" w:cs="仿宋_GB2312"/>
          <w:color w:val="000000" w:themeColor="text1"/>
          <w:sz w:val="32"/>
          <w:szCs w:val="32"/>
        </w:rPr>
        <w:t>进行</w:t>
      </w:r>
      <w:r>
        <w:rPr>
          <w:rFonts w:hint="eastAsia" w:ascii="仿宋_GB2312" w:hAnsi="仿宋_GB2312" w:eastAsia="仿宋_GB2312" w:cs="仿宋_GB2312"/>
          <w:color w:val="000000" w:themeColor="text1"/>
          <w:sz w:val="32"/>
          <w:szCs w:val="32"/>
          <w:lang w:eastAsia="zh-CN"/>
        </w:rPr>
        <w:t>了专题采访和报道</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val="en-US" w:eastAsia="zh-CN"/>
        </w:rPr>
        <w:t>下半年多次组织人员深入合作社和种粮大户对全县农机受灾情况开展摸排和统计，积极指导农户抗灾减损。为减少受灾损失，及时与农业保险机构沟通协调，把农户损失降到最低。</w:t>
      </w:r>
      <w:r>
        <w:rPr>
          <w:rFonts w:hint="eastAsia" w:ascii="仿宋_GB2312" w:hAnsi="仿宋_GB2312" w:eastAsia="仿宋_GB2312" w:cs="仿宋_GB2312"/>
          <w:b/>
          <w:bCs/>
          <w:color w:val="000000" w:themeColor="text1"/>
          <w:sz w:val="32"/>
          <w:szCs w:val="32"/>
          <w:lang w:eastAsia="zh-CN"/>
        </w:rPr>
        <w:t>二</w:t>
      </w:r>
      <w:r>
        <w:rPr>
          <w:rFonts w:hint="eastAsia" w:ascii="仿宋_GB2312" w:hAnsi="仿宋_GB2312" w:eastAsia="仿宋_GB2312" w:cs="仿宋_GB2312"/>
          <w:b/>
          <w:bCs/>
          <w:color w:val="000000" w:themeColor="text1"/>
          <w:sz w:val="32"/>
          <w:szCs w:val="32"/>
        </w:rPr>
        <w:t>是</w:t>
      </w:r>
      <w:r>
        <w:rPr>
          <w:rFonts w:hint="eastAsia" w:ascii="仿宋_GB2312" w:hAnsi="仿宋_GB2312" w:eastAsia="仿宋_GB2312" w:cs="仿宋_GB2312"/>
          <w:color w:val="000000" w:themeColor="text1"/>
          <w:sz w:val="32"/>
          <w:szCs w:val="32"/>
          <w:lang w:eastAsia="zh-CN"/>
        </w:rPr>
        <w:t>积极指导和扶持农机合作社建设，按照“因地制宜、协调发展、市场运作”的原则，大力培植培育农机合作社，</w:t>
      </w:r>
      <w:r>
        <w:rPr>
          <w:rFonts w:hint="eastAsia" w:ascii="仿宋_GB2312" w:hAnsi="仿宋_GB2312" w:eastAsia="仿宋_GB2312" w:cs="仿宋_GB2312"/>
          <w:color w:val="000000" w:themeColor="text1"/>
          <w:kern w:val="0"/>
          <w:sz w:val="32"/>
          <w:szCs w:val="32"/>
          <w:lang w:eastAsia="zh-CN"/>
        </w:rPr>
        <w:t>全年新</w:t>
      </w:r>
      <w:r>
        <w:rPr>
          <w:rFonts w:hint="eastAsia" w:ascii="仿宋_GB2312" w:hAnsi="仿宋_GB2312" w:eastAsia="仿宋_GB2312" w:cs="仿宋_GB2312"/>
          <w:color w:val="000000" w:themeColor="text1"/>
          <w:kern w:val="0"/>
          <w:sz w:val="32"/>
          <w:szCs w:val="32"/>
        </w:rPr>
        <w:t>建现代农机合作社</w:t>
      </w:r>
      <w:r>
        <w:rPr>
          <w:rFonts w:hint="eastAsia" w:ascii="仿宋_GB2312" w:hAnsi="仿宋_GB2312" w:eastAsia="仿宋_GB2312" w:cs="仿宋_GB2312"/>
          <w:color w:val="000000" w:themeColor="text1"/>
          <w:kern w:val="0"/>
          <w:sz w:val="32"/>
          <w:szCs w:val="32"/>
          <w:lang w:val="en-US" w:eastAsia="zh-CN"/>
        </w:rPr>
        <w:t>1家</w:t>
      </w:r>
      <w:r>
        <w:rPr>
          <w:rFonts w:hint="eastAsia" w:ascii="仿宋_GB2312" w:hAnsi="仿宋_GB2312" w:eastAsia="仿宋_GB2312" w:cs="仿宋_GB2312"/>
          <w:color w:val="000000" w:themeColor="text1"/>
          <w:kern w:val="0"/>
          <w:sz w:val="32"/>
          <w:szCs w:val="32"/>
        </w:rPr>
        <w:t>，</w:t>
      </w:r>
      <w:r>
        <w:rPr>
          <w:rFonts w:hint="eastAsia" w:ascii="仿宋_GB2312" w:hAnsi="仿宋_GB2312" w:eastAsia="仿宋_GB2312" w:cs="仿宋_GB2312"/>
          <w:sz w:val="32"/>
          <w:szCs w:val="32"/>
        </w:rPr>
        <w:t>评选</w:t>
      </w:r>
      <w:r>
        <w:rPr>
          <w:rFonts w:hint="eastAsia" w:ascii="仿宋_GB2312" w:hAnsi="仿宋_GB2312" w:eastAsia="仿宋_GB2312" w:cs="仿宋_GB2312"/>
          <w:sz w:val="32"/>
          <w:szCs w:val="32"/>
          <w:lang w:eastAsia="zh-CN"/>
        </w:rPr>
        <w:t>省级</w:t>
      </w:r>
      <w:r>
        <w:rPr>
          <w:rFonts w:hint="eastAsia" w:ascii="仿宋_GB2312" w:hAnsi="仿宋_GB2312" w:eastAsia="仿宋_GB2312" w:cs="仿宋_GB2312"/>
          <w:sz w:val="32"/>
          <w:szCs w:val="32"/>
        </w:rPr>
        <w:t>示范社</w:t>
      </w:r>
      <w:r>
        <w:rPr>
          <w:rFonts w:hint="eastAsia" w:ascii="仿宋_GB2312" w:hAnsi="仿宋_GB2312" w:eastAsia="仿宋_GB2312" w:cs="仿宋_GB2312"/>
          <w:sz w:val="32"/>
          <w:szCs w:val="32"/>
          <w:lang w:val="en-US" w:eastAsia="zh-CN"/>
        </w:rPr>
        <w:t>1家</w:t>
      </w:r>
      <w:r>
        <w:rPr>
          <w:rFonts w:hint="eastAsia" w:ascii="仿宋_GB2312" w:hAnsi="仿宋_GB2312" w:eastAsia="仿宋_GB2312" w:cs="仿宋_GB2312"/>
          <w:sz w:val="32"/>
          <w:szCs w:val="32"/>
          <w:lang w:eastAsia="zh-CN"/>
        </w:rPr>
        <w:t>，申报</w:t>
      </w:r>
      <w:r>
        <w:rPr>
          <w:rFonts w:hint="eastAsia" w:ascii="仿宋_GB2312" w:hAnsi="仿宋_GB2312" w:eastAsia="仿宋_GB2312" w:cs="仿宋_GB2312"/>
          <w:sz w:val="32"/>
          <w:szCs w:val="32"/>
        </w:rPr>
        <w:t>全程机械化综合农事服务中心1</w:t>
      </w:r>
      <w:r>
        <w:rPr>
          <w:rFonts w:hint="eastAsia" w:ascii="仿宋_GB2312" w:hAnsi="仿宋_GB2312" w:eastAsia="仿宋_GB2312" w:cs="仿宋_GB2312"/>
          <w:sz w:val="32"/>
          <w:szCs w:val="32"/>
          <w:lang w:eastAsia="zh-CN"/>
        </w:rPr>
        <w:t>家</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lang w:eastAsia="zh-CN"/>
        </w:rPr>
        <w:t>狠抓</w:t>
      </w:r>
      <w:r>
        <w:rPr>
          <w:rFonts w:hint="eastAsia" w:ascii="仿宋_GB2312" w:hAnsi="仿宋_GB2312" w:eastAsia="仿宋_GB2312" w:cs="仿宋_GB2312"/>
          <w:color w:val="auto"/>
          <w:sz w:val="32"/>
          <w:szCs w:val="32"/>
          <w:lang w:eastAsia="zh-CN"/>
        </w:rPr>
        <w:t>精细农业</w:t>
      </w:r>
      <w:r>
        <w:rPr>
          <w:rFonts w:hint="eastAsia" w:ascii="仿宋_GB2312" w:hAnsi="仿宋_GB2312" w:eastAsia="仿宋_GB2312" w:cs="仿宋_GB2312"/>
          <w:sz w:val="32"/>
          <w:szCs w:val="32"/>
          <w:lang w:eastAsia="zh-CN"/>
        </w:rPr>
        <w:t>，深入贯彻落实</w:t>
      </w:r>
      <w:r>
        <w:rPr>
          <w:rFonts w:hint="eastAsia" w:ascii="仿宋_GB2312" w:hAnsi="仿宋_GB2312" w:eastAsia="仿宋_GB2312" w:cs="仿宋_GB2312"/>
          <w:color w:val="auto"/>
          <w:sz w:val="32"/>
          <w:szCs w:val="32"/>
          <w:lang w:eastAsia="zh-CN"/>
        </w:rPr>
        <w:t>湖南省委在《关于深入学习贯彻习近平总书记考察湖南重要讲话精神，奋力谱写新时代坚持和发展中国特色社会主义湖南新篇章的决定》中提出的：“大力发展精细农业。深化农业供给侧结构性改革，打造农业“百千万”工程和“六大强农”行动升级版，提升农业产业化、规模化、机械化、科技化水平，加强农机推广服务”要求。</w:t>
      </w:r>
      <w:r>
        <w:rPr>
          <w:rFonts w:hint="eastAsia" w:ascii="仿宋_GB2312" w:hAnsi="仿宋_GB2312" w:eastAsia="仿宋_GB2312" w:cs="仿宋_GB2312"/>
          <w:color w:val="auto"/>
          <w:sz w:val="32"/>
          <w:szCs w:val="32"/>
          <w:lang w:val="en-US" w:eastAsia="zh-CN"/>
        </w:rPr>
        <w:t>2020年</w:t>
      </w:r>
      <w:r>
        <w:rPr>
          <w:rFonts w:hint="eastAsia" w:ascii="仿宋_GB2312" w:hAnsi="仿宋_GB2312" w:eastAsia="仿宋_GB2312" w:cs="仿宋_GB2312"/>
          <w:color w:val="auto"/>
          <w:sz w:val="32"/>
          <w:szCs w:val="32"/>
          <w:lang w:eastAsia="zh-CN"/>
        </w:rPr>
        <w:t>为提高全县水田产出能力，积极向省厅申报了水田深翻耕试点县项目，实施面积</w:t>
      </w:r>
      <w:r>
        <w:rPr>
          <w:rFonts w:hint="eastAsia" w:ascii="仿宋_GB2312" w:hAnsi="仿宋_GB2312" w:eastAsia="仿宋_GB2312" w:cs="仿宋_GB2312"/>
          <w:color w:val="auto"/>
          <w:sz w:val="32"/>
          <w:szCs w:val="32"/>
          <w:lang w:val="en-US" w:eastAsia="zh-CN"/>
        </w:rPr>
        <w:t>4万亩，</w:t>
      </w:r>
      <w:r>
        <w:rPr>
          <w:rFonts w:hint="eastAsia" w:ascii="仿宋_GB2312" w:hAnsi="仿宋_GB2312" w:eastAsia="仿宋_GB2312" w:cs="仿宋_GB2312"/>
          <w:color w:val="333333"/>
          <w:kern w:val="0"/>
          <w:sz w:val="32"/>
          <w:szCs w:val="32"/>
        </w:rPr>
        <w:t>改浅耕为深耕</w:t>
      </w:r>
      <w:r>
        <w:rPr>
          <w:rFonts w:hint="eastAsia" w:ascii="仿宋_GB2312" w:hAnsi="仿宋_GB2312" w:eastAsia="仿宋_GB2312" w:cs="仿宋_GB2312"/>
          <w:color w:val="333333"/>
          <w:kern w:val="0"/>
          <w:sz w:val="32"/>
          <w:szCs w:val="32"/>
          <w:lang w:eastAsia="zh-CN"/>
        </w:rPr>
        <w:t>，</w:t>
      </w:r>
      <w:r>
        <w:rPr>
          <w:rFonts w:hint="eastAsia" w:ascii="仿宋_GB2312" w:hAnsi="仿宋_GB2312" w:eastAsia="仿宋_GB2312" w:cs="仿宋_GB2312"/>
          <w:color w:val="333333"/>
          <w:kern w:val="0"/>
          <w:sz w:val="32"/>
          <w:szCs w:val="32"/>
        </w:rPr>
        <w:t>改旋耕为翻耕</w:t>
      </w:r>
      <w:r>
        <w:rPr>
          <w:rFonts w:hint="eastAsia" w:ascii="仿宋_GB2312" w:hAnsi="仿宋_GB2312" w:eastAsia="仿宋_GB2312" w:cs="仿宋_GB2312"/>
          <w:color w:val="333333"/>
          <w:kern w:val="0"/>
          <w:sz w:val="32"/>
          <w:szCs w:val="32"/>
          <w:lang w:eastAsia="zh-CN"/>
        </w:rPr>
        <w:t>，</w:t>
      </w:r>
      <w:r>
        <w:rPr>
          <w:rFonts w:hint="eastAsia" w:ascii="仿宋_GB2312" w:hAnsi="仿宋_GB2312" w:eastAsia="仿宋_GB2312" w:cs="仿宋_GB2312"/>
          <w:color w:val="333333"/>
          <w:kern w:val="0"/>
          <w:sz w:val="32"/>
          <w:szCs w:val="32"/>
        </w:rPr>
        <w:t>改变稻田耕层变浅影响水稻产量和稻米镉超标的局面。同时，</w:t>
      </w:r>
      <w:r>
        <w:rPr>
          <w:rFonts w:hint="eastAsia" w:ascii="仿宋_GB2312" w:hAnsi="仿宋_GB2312" w:eastAsia="仿宋_GB2312" w:cs="仿宋_GB2312"/>
          <w:color w:val="333333"/>
          <w:kern w:val="0"/>
          <w:sz w:val="32"/>
          <w:szCs w:val="32"/>
          <w:lang w:eastAsia="zh-CN"/>
        </w:rPr>
        <w:t>实施</w:t>
      </w:r>
      <w:r>
        <w:rPr>
          <w:rFonts w:hint="eastAsia" w:ascii="仿宋_GB2312" w:hAnsi="仿宋_GB2312" w:eastAsia="仿宋_GB2312" w:cs="仿宋_GB2312"/>
          <w:color w:val="333333"/>
          <w:kern w:val="0"/>
          <w:sz w:val="32"/>
          <w:szCs w:val="32"/>
        </w:rPr>
        <w:t>深翻耕</w:t>
      </w:r>
      <w:r>
        <w:rPr>
          <w:rFonts w:hint="eastAsia" w:ascii="仿宋_GB2312" w:hAnsi="仿宋_GB2312" w:eastAsia="仿宋_GB2312" w:cs="仿宋_GB2312"/>
          <w:color w:val="333333"/>
          <w:kern w:val="0"/>
          <w:sz w:val="32"/>
          <w:szCs w:val="32"/>
          <w:lang w:eastAsia="zh-CN"/>
        </w:rPr>
        <w:t>水</w:t>
      </w:r>
      <w:r>
        <w:rPr>
          <w:rFonts w:hint="eastAsia" w:ascii="仿宋_GB2312" w:hAnsi="仿宋_GB2312" w:eastAsia="仿宋_GB2312" w:cs="仿宋_GB2312"/>
          <w:color w:val="333333"/>
          <w:kern w:val="0"/>
          <w:sz w:val="32"/>
          <w:szCs w:val="32"/>
        </w:rPr>
        <w:t>田保持</w:t>
      </w:r>
      <w:r>
        <w:rPr>
          <w:rFonts w:hint="eastAsia" w:ascii="仿宋_GB2312" w:hAnsi="仿宋_GB2312" w:eastAsia="仿宋_GB2312" w:cs="仿宋_GB2312"/>
          <w:color w:val="333333"/>
          <w:kern w:val="0"/>
          <w:sz w:val="32"/>
          <w:szCs w:val="32"/>
          <w:lang w:eastAsia="zh-CN"/>
        </w:rPr>
        <w:t>了</w:t>
      </w:r>
      <w:r>
        <w:rPr>
          <w:rFonts w:hint="eastAsia" w:ascii="仿宋_GB2312" w:hAnsi="仿宋_GB2312" w:eastAsia="仿宋_GB2312" w:cs="仿宋_GB2312"/>
          <w:color w:val="333333"/>
          <w:kern w:val="0"/>
          <w:sz w:val="32"/>
          <w:szCs w:val="32"/>
        </w:rPr>
        <w:t>土壤的湿润度</w:t>
      </w:r>
      <w:r>
        <w:rPr>
          <w:rFonts w:hint="eastAsia" w:ascii="仿宋_GB2312" w:hAnsi="仿宋_GB2312" w:eastAsia="仿宋_GB2312" w:cs="仿宋_GB2312"/>
          <w:color w:val="333333"/>
          <w:kern w:val="0"/>
          <w:sz w:val="32"/>
          <w:szCs w:val="32"/>
          <w:lang w:eastAsia="zh-CN"/>
        </w:rPr>
        <w:t>，</w:t>
      </w:r>
      <w:r>
        <w:rPr>
          <w:rFonts w:hint="eastAsia" w:ascii="仿宋_GB2312" w:hAnsi="仿宋_GB2312" w:eastAsia="仿宋_GB2312" w:cs="仿宋_GB2312"/>
          <w:color w:val="333333"/>
          <w:kern w:val="0"/>
          <w:sz w:val="32"/>
          <w:szCs w:val="32"/>
        </w:rPr>
        <w:t>粉碎还田的秸秆和杂草</w:t>
      </w:r>
      <w:r>
        <w:rPr>
          <w:rFonts w:hint="eastAsia" w:ascii="仿宋_GB2312" w:hAnsi="仿宋_GB2312" w:eastAsia="仿宋_GB2312" w:cs="仿宋_GB2312"/>
          <w:color w:val="333333"/>
          <w:kern w:val="0"/>
          <w:sz w:val="32"/>
          <w:szCs w:val="32"/>
          <w:lang w:eastAsia="zh-CN"/>
        </w:rPr>
        <w:t>经过</w:t>
      </w:r>
      <w:r>
        <w:rPr>
          <w:rFonts w:hint="eastAsia" w:ascii="仿宋_GB2312" w:hAnsi="仿宋_GB2312" w:eastAsia="仿宋_GB2312" w:cs="仿宋_GB2312"/>
          <w:color w:val="333333"/>
          <w:kern w:val="0"/>
          <w:sz w:val="32"/>
          <w:szCs w:val="32"/>
        </w:rPr>
        <w:t>腐烂</w:t>
      </w:r>
      <w:r>
        <w:rPr>
          <w:rFonts w:hint="eastAsia" w:ascii="仿宋_GB2312" w:hAnsi="仿宋_GB2312" w:eastAsia="仿宋_GB2312" w:cs="仿宋_GB2312"/>
          <w:color w:val="333333"/>
          <w:kern w:val="0"/>
          <w:sz w:val="32"/>
          <w:szCs w:val="32"/>
          <w:lang w:eastAsia="zh-CN"/>
        </w:rPr>
        <w:t>发酵后会</w:t>
      </w:r>
      <w:r>
        <w:rPr>
          <w:rFonts w:hint="eastAsia" w:ascii="仿宋_GB2312" w:hAnsi="仿宋_GB2312" w:eastAsia="仿宋_GB2312" w:cs="仿宋_GB2312"/>
          <w:color w:val="333333"/>
          <w:kern w:val="0"/>
          <w:sz w:val="32"/>
          <w:szCs w:val="32"/>
        </w:rPr>
        <w:t>增加土壤的有机肥</w:t>
      </w:r>
      <w:r>
        <w:rPr>
          <w:rFonts w:hint="eastAsia" w:ascii="仿宋_GB2312" w:hAnsi="仿宋_GB2312" w:eastAsia="仿宋_GB2312" w:cs="仿宋_GB2312"/>
          <w:color w:val="333333"/>
          <w:kern w:val="0"/>
          <w:sz w:val="32"/>
          <w:szCs w:val="32"/>
          <w:lang w:eastAsia="zh-CN"/>
        </w:rPr>
        <w:t>，为来年粮食增产增效打下了良好基础，为</w:t>
      </w:r>
      <w:r>
        <w:rPr>
          <w:rFonts w:hint="eastAsia" w:ascii="仿宋_GB2312" w:hAnsi="仿宋_GB2312" w:eastAsia="仿宋_GB2312" w:cs="仿宋_GB2312"/>
          <w:color w:val="333333"/>
          <w:kern w:val="0"/>
          <w:sz w:val="32"/>
          <w:szCs w:val="32"/>
        </w:rPr>
        <w:t>保障</w:t>
      </w:r>
      <w:r>
        <w:rPr>
          <w:rFonts w:hint="eastAsia" w:ascii="仿宋_GB2312" w:hAnsi="仿宋_GB2312" w:eastAsia="仿宋_GB2312" w:cs="仿宋_GB2312"/>
          <w:color w:val="333333"/>
          <w:kern w:val="0"/>
          <w:sz w:val="32"/>
          <w:szCs w:val="32"/>
          <w:lang w:eastAsia="zh-CN"/>
        </w:rPr>
        <w:t>全县</w:t>
      </w:r>
      <w:r>
        <w:rPr>
          <w:rFonts w:hint="eastAsia" w:ascii="仿宋_GB2312" w:hAnsi="仿宋_GB2312" w:eastAsia="仿宋_GB2312" w:cs="仿宋_GB2312"/>
          <w:color w:val="333333"/>
          <w:kern w:val="0"/>
          <w:sz w:val="32"/>
          <w:szCs w:val="32"/>
        </w:rPr>
        <w:t>粮食生产安全</w:t>
      </w:r>
      <w:r>
        <w:rPr>
          <w:rFonts w:hint="eastAsia" w:ascii="仿宋_GB2312" w:hAnsi="仿宋_GB2312" w:eastAsia="仿宋_GB2312" w:cs="仿宋_GB2312"/>
          <w:color w:val="333333"/>
          <w:kern w:val="0"/>
          <w:sz w:val="32"/>
          <w:szCs w:val="32"/>
          <w:lang w:eastAsia="zh-CN"/>
        </w:rPr>
        <w:t>作出了积极贡献</w:t>
      </w:r>
      <w:r>
        <w:rPr>
          <w:rFonts w:hint="eastAsia" w:ascii="仿宋_GB2312" w:hAnsi="仿宋_GB2312" w:eastAsia="仿宋_GB2312" w:cs="仿宋_GB2312"/>
          <w:color w:val="333333"/>
          <w:kern w:val="0"/>
          <w:sz w:val="32"/>
          <w:szCs w:val="32"/>
        </w:rPr>
        <w:t>。</w:t>
      </w:r>
    </w:p>
    <w:p>
      <w:pPr>
        <w:ind w:firstLine="643" w:firstLineChars="200"/>
        <w:jc w:val="left"/>
        <w:rPr>
          <w:rFonts w:hint="eastAsia" w:ascii="楷体" w:hAnsi="楷体" w:eastAsia="楷体" w:cs="楷体"/>
          <w:b/>
          <w:bCs/>
          <w:sz w:val="32"/>
          <w:szCs w:val="32"/>
          <w:lang w:eastAsia="zh-CN"/>
        </w:rPr>
      </w:pPr>
      <w:r>
        <w:rPr>
          <w:rFonts w:hint="eastAsia" w:ascii="楷体" w:hAnsi="楷体" w:eastAsia="楷体" w:cs="楷体"/>
          <w:b/>
          <w:bCs/>
          <w:sz w:val="32"/>
          <w:szCs w:val="32"/>
          <w:lang w:val="en-US" w:eastAsia="zh-CN"/>
        </w:rPr>
        <w:t>（五）</w:t>
      </w:r>
      <w:r>
        <w:rPr>
          <w:rFonts w:hint="eastAsia" w:ascii="楷体" w:hAnsi="楷体" w:eastAsia="楷体" w:cs="楷体"/>
          <w:b/>
          <w:bCs/>
          <w:sz w:val="32"/>
          <w:szCs w:val="32"/>
        </w:rPr>
        <w:t>党建责任</w:t>
      </w:r>
      <w:r>
        <w:rPr>
          <w:rFonts w:hint="eastAsia" w:ascii="楷体" w:hAnsi="楷体" w:eastAsia="楷体" w:cs="楷体"/>
          <w:b/>
          <w:bCs/>
          <w:sz w:val="32"/>
          <w:szCs w:val="32"/>
          <w:lang w:eastAsia="zh-CN"/>
        </w:rPr>
        <w:t>明显增强</w:t>
      </w:r>
    </w:p>
    <w:p>
      <w:pPr>
        <w:pStyle w:val="11"/>
        <w:numPr>
          <w:ilvl w:val="0"/>
          <w:numId w:val="0"/>
        </w:numPr>
        <w:ind w:firstLine="640" w:firstLineChars="200"/>
        <w:rPr>
          <w:rFonts w:hint="eastAsia" w:ascii="仿宋_GB2312" w:hAnsi="仿宋_GB2312" w:eastAsia="仿宋_GB2312" w:cs="仿宋_GB2312"/>
          <w:b/>
          <w:bCs/>
          <w:color w:val="000000" w:themeColor="text1"/>
          <w:sz w:val="32"/>
          <w:szCs w:val="32"/>
          <w:lang w:val="en-US" w:eastAsia="zh-CN"/>
        </w:rPr>
      </w:pPr>
      <w:r>
        <w:rPr>
          <w:rFonts w:hint="eastAsia" w:ascii="仿宋_GB2312" w:hAnsi="仿宋_GB2312" w:eastAsia="仿宋_GB2312" w:cs="仿宋_GB2312"/>
          <w:sz w:val="32"/>
          <w:szCs w:val="32"/>
        </w:rPr>
        <w:t>按照县委</w:t>
      </w:r>
      <w:r>
        <w:rPr>
          <w:rFonts w:hint="eastAsia" w:ascii="仿宋_GB2312" w:hAnsi="仿宋_GB2312" w:eastAsia="仿宋_GB2312" w:cs="仿宋_GB2312"/>
          <w:sz w:val="32"/>
          <w:szCs w:val="32"/>
          <w:lang w:eastAsia="zh-CN"/>
        </w:rPr>
        <w:t>统一</w:t>
      </w:r>
      <w:r>
        <w:rPr>
          <w:rFonts w:hint="eastAsia" w:ascii="仿宋_GB2312" w:hAnsi="仿宋_GB2312" w:eastAsia="仿宋_GB2312" w:cs="仿宋_GB2312"/>
          <w:sz w:val="32"/>
          <w:szCs w:val="32"/>
        </w:rPr>
        <w:t>要求，切实履行党建第一责任人职责，全面提升党员、干部政治素质，为促进全县农机化发展提供坚实的政治保障。</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b/>
          <w:bCs/>
          <w:sz w:val="32"/>
          <w:szCs w:val="32"/>
        </w:rPr>
        <w:t>抓责任担当，促党建落实</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坚持党要管党、从严治党，认真落实党建工作主体责任。坚持民主集中制，新制定了《党委议事规则和决策程序》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建立全面从严治党主体责任第一责任人履责常态化机制。 </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b/>
          <w:bCs/>
          <w:sz w:val="32"/>
          <w:szCs w:val="32"/>
        </w:rPr>
        <w:t>抓学习教育，促素质提升</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深入贯彻党的十九</w:t>
      </w:r>
      <w:r>
        <w:rPr>
          <w:rFonts w:hint="eastAsia" w:ascii="仿宋_GB2312" w:hAnsi="仿宋_GB2312" w:eastAsia="仿宋_GB2312" w:cs="仿宋_GB2312"/>
          <w:sz w:val="32"/>
          <w:szCs w:val="32"/>
          <w:lang w:eastAsia="zh-CN"/>
        </w:rPr>
        <w:t>届五中全会精神和</w:t>
      </w:r>
      <w:r>
        <w:rPr>
          <w:rFonts w:hint="eastAsia" w:ascii="仿宋_GB2312" w:hAnsi="仿宋_GB2312" w:eastAsia="仿宋_GB2312" w:cs="仿宋_GB2312"/>
          <w:color w:val="auto"/>
          <w:sz w:val="32"/>
          <w:szCs w:val="32"/>
          <w:lang w:eastAsia="zh-CN"/>
        </w:rPr>
        <w:t>习近平总书记考察湖南重要讲话精神</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全面落实新时代党的建设总要求。</w:t>
      </w:r>
      <w:r>
        <w:rPr>
          <w:rFonts w:hint="eastAsia" w:ascii="仿宋_GB2312" w:hAnsi="仿宋_GB2312" w:eastAsia="仿宋_GB2312" w:cs="仿宋_GB2312"/>
          <w:sz w:val="32"/>
          <w:szCs w:val="32"/>
        </w:rPr>
        <w:t>大力推</w:t>
      </w:r>
      <w:r>
        <w:rPr>
          <w:rFonts w:hint="eastAsia" w:ascii="仿宋_GB2312" w:hAnsi="仿宋_GB2312" w:eastAsia="仿宋_GB2312" w:cs="仿宋_GB2312"/>
          <w:sz w:val="32"/>
          <w:szCs w:val="32"/>
          <w:lang w:eastAsia="zh-CN"/>
        </w:rPr>
        <w:t>行</w:t>
      </w:r>
      <w:r>
        <w:rPr>
          <w:rFonts w:hint="eastAsia" w:ascii="仿宋_GB2312" w:hAnsi="仿宋_GB2312" w:eastAsia="仿宋_GB2312" w:cs="仿宋_GB2312"/>
          <w:sz w:val="32"/>
          <w:szCs w:val="32"/>
        </w:rPr>
        <w:t>“学习强国”学习平台，坚持用习近平新时代中国特色社会主义思想武装头脑、指导实践、推动工作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党员</w:t>
      </w:r>
      <w:r>
        <w:rPr>
          <w:rFonts w:hint="eastAsia" w:ascii="仿宋_GB2312" w:hAnsi="仿宋_GB2312" w:eastAsia="仿宋_GB2312" w:cs="仿宋_GB2312"/>
          <w:sz w:val="32"/>
          <w:szCs w:val="32"/>
          <w:lang w:eastAsia="zh-CN"/>
        </w:rPr>
        <w:t>干部</w:t>
      </w:r>
      <w:r>
        <w:rPr>
          <w:rFonts w:hint="eastAsia" w:ascii="仿宋_GB2312" w:hAnsi="仿宋_GB2312" w:eastAsia="仿宋_GB2312" w:cs="仿宋_GB2312"/>
          <w:sz w:val="32"/>
          <w:szCs w:val="32"/>
        </w:rPr>
        <w:t>参与率100%，活跃度100%。严格执行“三会一课”制度，各</w:t>
      </w:r>
      <w:r>
        <w:rPr>
          <w:rFonts w:hint="eastAsia" w:ascii="仿宋_GB2312" w:hAnsi="仿宋_GB2312" w:eastAsia="仿宋_GB2312" w:cs="仿宋_GB2312"/>
          <w:sz w:val="32"/>
          <w:szCs w:val="32"/>
          <w:lang w:eastAsia="zh-CN"/>
        </w:rPr>
        <w:t>支部开展</w:t>
      </w:r>
      <w:r>
        <w:rPr>
          <w:rFonts w:hint="eastAsia" w:ascii="仿宋_GB2312" w:hAnsi="仿宋_GB2312" w:eastAsia="仿宋_GB2312" w:cs="仿宋_GB2312"/>
          <w:sz w:val="32"/>
          <w:szCs w:val="32"/>
        </w:rPr>
        <w:t>学习教育活动</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 余次</w:t>
      </w:r>
      <w:r>
        <w:rPr>
          <w:rFonts w:hint="eastAsia" w:ascii="仿宋_GB2312" w:hAnsi="仿宋_GB2312" w:eastAsia="仿宋_GB2312" w:cs="仿宋_GB2312"/>
          <w:sz w:val="32"/>
          <w:szCs w:val="32"/>
          <w:lang w:eastAsia="zh-CN"/>
        </w:rPr>
        <w:t>，既</w:t>
      </w:r>
      <w:r>
        <w:rPr>
          <w:rFonts w:hint="eastAsia" w:ascii="仿宋_GB2312" w:hAnsi="仿宋_GB2312" w:eastAsia="仿宋_GB2312" w:cs="仿宋_GB2312"/>
          <w:sz w:val="32"/>
          <w:szCs w:val="32"/>
        </w:rPr>
        <w:t>凝聚了人心，</w:t>
      </w:r>
      <w:r>
        <w:rPr>
          <w:rFonts w:hint="eastAsia" w:ascii="仿宋_GB2312" w:hAnsi="仿宋_GB2312" w:eastAsia="仿宋_GB2312" w:cs="仿宋_GB2312"/>
          <w:sz w:val="32"/>
          <w:szCs w:val="32"/>
          <w:lang w:eastAsia="zh-CN"/>
        </w:rPr>
        <w:t>又得到了洗礼</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b/>
          <w:bCs/>
          <w:sz w:val="32"/>
          <w:szCs w:val="32"/>
        </w:rPr>
        <w:t>抓制度建设，促作风改进</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lang w:eastAsia="zh-CN"/>
        </w:rPr>
        <w:t>制定了</w:t>
      </w:r>
      <w:r>
        <w:rPr>
          <w:rFonts w:hint="eastAsia" w:ascii="仿宋_GB2312" w:hAnsi="仿宋_GB2312" w:eastAsia="仿宋_GB2312" w:cs="仿宋_GB2312"/>
          <w:b w:val="0"/>
          <w:bCs w:val="0"/>
          <w:sz w:val="32"/>
          <w:szCs w:val="32"/>
          <w:lang w:val="en-US" w:eastAsia="zh-CN"/>
        </w:rPr>
        <w:t>2020年度党建工作要点，</w:t>
      </w:r>
      <w:r>
        <w:rPr>
          <w:rFonts w:hint="eastAsia" w:ascii="仿宋_GB2312" w:hAnsi="仿宋_GB2312" w:eastAsia="仿宋_GB2312" w:cs="仿宋_GB2312"/>
          <w:sz w:val="32"/>
          <w:szCs w:val="32"/>
        </w:rPr>
        <w:t>严格执行“三重一大”、民主生活会等制度，广泛开展领导班子谈心谈话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批评与自我批评，扎实</w:t>
      </w:r>
      <w:r>
        <w:rPr>
          <w:rFonts w:hint="eastAsia" w:ascii="仿宋_GB2312" w:hAnsi="仿宋_GB2312" w:eastAsia="仿宋_GB2312" w:cs="仿宋_GB2312"/>
          <w:sz w:val="32"/>
          <w:szCs w:val="32"/>
          <w:lang w:eastAsia="zh-CN"/>
        </w:rPr>
        <w:t>推进</w:t>
      </w:r>
      <w:r>
        <w:rPr>
          <w:rFonts w:hint="eastAsia" w:ascii="仿宋_GB2312" w:hAnsi="仿宋_GB2312" w:eastAsia="仿宋_GB2312" w:cs="仿宋_GB2312"/>
          <w:sz w:val="32"/>
          <w:szCs w:val="32"/>
        </w:rPr>
        <w:t>形式主义和官僚主义专项整治行动，</w:t>
      </w:r>
      <w:r>
        <w:rPr>
          <w:rFonts w:hint="eastAsia" w:ascii="仿宋_GB2312" w:hAnsi="仿宋_GB2312" w:eastAsia="仿宋_GB2312" w:cs="仿宋_GB2312"/>
          <w:sz w:val="32"/>
          <w:szCs w:val="32"/>
          <w:lang w:eastAsia="zh-CN"/>
        </w:rPr>
        <w:t>评选了一批优秀党员干部，全系统</w:t>
      </w:r>
      <w:r>
        <w:rPr>
          <w:rFonts w:hint="eastAsia" w:ascii="仿宋_GB2312" w:hAnsi="仿宋_GB2312" w:eastAsia="仿宋_GB2312" w:cs="仿宋_GB2312"/>
          <w:sz w:val="32"/>
          <w:szCs w:val="32"/>
        </w:rPr>
        <w:t>形成了风清气正的良好氛围。</w:t>
      </w:r>
      <w:r>
        <w:rPr>
          <w:rFonts w:hint="eastAsia" w:ascii="仿宋_GB2312" w:hAnsi="仿宋_GB2312" w:eastAsia="仿宋_GB2312" w:cs="仿宋_GB2312"/>
          <w:b/>
          <w:bCs/>
          <w:sz w:val="32"/>
          <w:szCs w:val="32"/>
          <w:lang w:eastAsia="zh-CN"/>
        </w:rPr>
        <w:t>四是深化拓展“不忘初心，牢记使命”主题教育成果。</w:t>
      </w:r>
      <w:r>
        <w:rPr>
          <w:rFonts w:hint="eastAsia" w:ascii="仿宋_GB2312" w:hAnsi="仿宋_GB2312" w:eastAsia="仿宋_GB2312" w:cs="仿宋_GB2312"/>
          <w:sz w:val="32"/>
          <w:szCs w:val="32"/>
          <w:lang w:eastAsia="zh-CN"/>
        </w:rPr>
        <w:t>对主题教育开展情况进行“回头看”，着重整改</w:t>
      </w:r>
      <w:r>
        <w:rPr>
          <w:rFonts w:hint="eastAsia" w:ascii="仿宋_GB2312" w:hAnsi="仿宋_GB2312" w:eastAsia="仿宋_GB2312" w:cs="仿宋_GB2312"/>
          <w:sz w:val="32"/>
          <w:szCs w:val="32"/>
          <w:lang w:val="en-US" w:eastAsia="zh-CN"/>
        </w:rPr>
        <w:t>2019年度县委基层党建述职评议会上交办的问题，大力提升本单位党建工作水平。</w:t>
      </w:r>
    </w:p>
    <w:p>
      <w:pPr>
        <w:numPr>
          <w:ilvl w:val="0"/>
          <w:numId w:val="0"/>
        </w:numPr>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（六）</w:t>
      </w:r>
      <w:r>
        <w:rPr>
          <w:rFonts w:hint="eastAsia" w:ascii="楷体" w:hAnsi="楷体" w:eastAsia="楷体" w:cs="楷体"/>
          <w:b/>
          <w:bCs/>
          <w:sz w:val="32"/>
          <w:szCs w:val="32"/>
          <w:lang w:eastAsia="zh-CN"/>
        </w:rPr>
        <w:t>疫情防控全力</w:t>
      </w:r>
      <w:r>
        <w:rPr>
          <w:rFonts w:hint="eastAsia" w:ascii="楷体" w:hAnsi="楷体" w:eastAsia="楷体" w:cs="楷体"/>
          <w:b/>
          <w:bCs/>
          <w:sz w:val="32"/>
          <w:szCs w:val="32"/>
          <w:lang w:val="en-US" w:eastAsia="zh-CN"/>
        </w:rPr>
        <w:t>以赴</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一场突如其来的疫情，打乱了人民的生活，面对疫情，县农机事务中心全体党员干部临危不惧，主动请缨，牢固树立“舍小家为大家”的思想，积极参与全县的疫情防控，在入户摸排、陬市高速出口防控卡点、康多利油脂有限公司、深水港社区和桃纺天富小区等疫情防控中率先士卒，逆风而行，为打赢疫情防控的人民战争、总体战、阻击战贡献了农机力量。</w:t>
      </w:r>
    </w:p>
    <w:p>
      <w:pPr>
        <w:numPr>
          <w:ilvl w:val="0"/>
          <w:numId w:val="0"/>
        </w:numPr>
        <w:ind w:firstLine="64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(七）脱贫攻坚用心用情</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今年是脱贫攻坚的收官之年，根据县脱贫攻坚指挥部的统一部署，对建档立卡贫困人口100人以下的剪家溪村、牧马口村派出驻村联络组。在原有14名帮扶干部的基础上另外调配了17名干部作为充实帮扶责任人，分别在杨溪桥镇蔡家塘村、剪市镇十字路村和玉皇殿村等3个村帮扶贫困户113户。自全县开展“大战一百天，打赢收官战”战役以来，每名帮扶责任人不求回报不讲价钱，克服困难深入走访，摸排问题协调汇报，为贫困户解决了很多实际问题，认真履行“八包”职责，真正做到了用心用情帮扶，为全县打赢打好脱贫攻坚的决胜之战、收官之战作出了积极贡献。</w:t>
      </w:r>
    </w:p>
    <w:p>
      <w:pPr>
        <w:ind w:firstLine="643" w:firstLineChars="200"/>
        <w:jc w:val="left"/>
        <w:rPr>
          <w:rFonts w:hint="eastAsia" w:ascii="楷体" w:hAnsi="楷体" w:eastAsia="楷体" w:cs="楷体"/>
          <w:b/>
          <w:bCs w:val="0"/>
          <w:sz w:val="32"/>
          <w:szCs w:val="32"/>
          <w:lang w:eastAsia="zh-CN"/>
        </w:rPr>
      </w:pPr>
      <w:r>
        <w:rPr>
          <w:rFonts w:hint="eastAsia" w:ascii="楷体" w:hAnsi="楷体" w:eastAsia="楷体" w:cs="楷体"/>
          <w:b/>
          <w:bCs w:val="0"/>
          <w:sz w:val="32"/>
          <w:szCs w:val="32"/>
          <w:lang w:eastAsia="zh-CN"/>
        </w:rPr>
        <w:t>（八）</w:t>
      </w:r>
      <w:r>
        <w:rPr>
          <w:rFonts w:hint="eastAsia" w:ascii="楷体" w:hAnsi="楷体" w:eastAsia="楷体" w:cs="楷体"/>
          <w:b/>
          <w:bCs w:val="0"/>
          <w:sz w:val="32"/>
          <w:szCs w:val="32"/>
        </w:rPr>
        <w:t>意识形态</w:t>
      </w:r>
      <w:r>
        <w:rPr>
          <w:rFonts w:hint="eastAsia" w:ascii="楷体" w:hAnsi="楷体" w:eastAsia="楷体" w:cs="楷体"/>
          <w:b/>
          <w:bCs w:val="0"/>
          <w:sz w:val="32"/>
          <w:szCs w:val="32"/>
          <w:lang w:eastAsia="zh-CN"/>
        </w:rPr>
        <w:t>明显改善</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提升政治站位，靠实工作责任。切实增强抓意识形态工作的履职自觉，强化使命担当，严格落实上级关于意识形态工作安排，定期进行研判，坚持将意识形态工作与业务工作同安排，同部署。进一步明确了党委书记为意识形态工作第一责任人，分管领导为“直接责任人”和班子成员“一岗双责”责任，实行一把手负总责，班子成员各司其责。</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二是强化理论武装，突出正面宣传。制定理论学习制度，把</w:t>
      </w:r>
      <w:r>
        <w:rPr>
          <w:rFonts w:hint="eastAsia" w:ascii="仿宋_GB2312" w:hAnsi="仿宋_GB2312" w:eastAsia="仿宋_GB2312" w:cs="仿宋_GB2312"/>
          <w:sz w:val="32"/>
          <w:szCs w:val="32"/>
          <w:lang w:eastAsia="zh-CN"/>
        </w:rPr>
        <w:t>习近平新时代中国特色社会主义思想</w:t>
      </w:r>
      <w:r>
        <w:rPr>
          <w:rFonts w:hint="eastAsia" w:ascii="仿宋_GB2312" w:hAnsi="仿宋_GB2312" w:eastAsia="仿宋_GB2312" w:cs="仿宋_GB2312"/>
          <w:sz w:val="32"/>
          <w:szCs w:val="32"/>
        </w:rPr>
        <w:t>和党的十九大精神学习宣传贯彻作为首要政治任务，纳入主题党日活动和</w:t>
      </w:r>
      <w:r>
        <w:rPr>
          <w:rFonts w:hint="eastAsia" w:ascii="仿宋_GB2312" w:hAnsi="仿宋_GB2312" w:eastAsia="仿宋_GB2312" w:cs="仿宋_GB2312"/>
          <w:sz w:val="32"/>
          <w:szCs w:val="32"/>
          <w:lang w:eastAsia="zh-CN"/>
        </w:rPr>
        <w:t>中心组学习内容</w:t>
      </w:r>
      <w:r>
        <w:rPr>
          <w:rFonts w:hint="eastAsia" w:ascii="仿宋_GB2312" w:hAnsi="仿宋_GB2312" w:eastAsia="仿宋_GB2312" w:cs="仿宋_GB2312"/>
          <w:sz w:val="32"/>
          <w:szCs w:val="32"/>
        </w:rPr>
        <w:t>。</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三是强化舆情监控，保障网络安全。高度重视舆论引导和网络意识形态安全，坚持用正确的舆论引导占领宣传主阵地，在信息发布和对外宣传实行分管领导审批制度，严格报送程序，把好舆论宣传“出口关”。</w:t>
      </w:r>
    </w:p>
    <w:p>
      <w:pPr>
        <w:ind w:firstLine="643" w:firstLineChars="200"/>
        <w:jc w:val="left"/>
        <w:rPr>
          <w:rFonts w:hint="eastAsia" w:ascii="楷体" w:hAnsi="楷体" w:eastAsia="楷体" w:cs="楷体"/>
          <w:b/>
          <w:bCs w:val="0"/>
          <w:sz w:val="32"/>
          <w:szCs w:val="32"/>
          <w:lang w:eastAsia="zh-CN"/>
        </w:rPr>
      </w:pPr>
      <w:r>
        <w:rPr>
          <w:rFonts w:hint="eastAsia" w:ascii="楷体" w:hAnsi="楷体" w:eastAsia="楷体" w:cs="楷体"/>
          <w:b/>
          <w:bCs w:val="0"/>
          <w:sz w:val="32"/>
          <w:szCs w:val="32"/>
          <w:lang w:eastAsia="zh-CN"/>
        </w:rPr>
        <w:t>（九）</w:t>
      </w:r>
      <w:r>
        <w:rPr>
          <w:rFonts w:hint="eastAsia" w:ascii="楷体" w:hAnsi="楷体" w:eastAsia="楷体" w:cs="楷体"/>
          <w:b/>
          <w:bCs w:val="0"/>
          <w:sz w:val="32"/>
          <w:szCs w:val="32"/>
        </w:rPr>
        <w:t>法制建设</w:t>
      </w:r>
      <w:r>
        <w:rPr>
          <w:rFonts w:hint="eastAsia" w:ascii="楷体" w:hAnsi="楷体" w:eastAsia="楷体" w:cs="楷体"/>
          <w:b/>
          <w:bCs w:val="0"/>
          <w:sz w:val="32"/>
          <w:szCs w:val="32"/>
          <w:lang w:eastAsia="zh-CN"/>
        </w:rPr>
        <w:t>明显提升</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一是抓住“关键少数”，依法履职尽责。坚持民主集中制，制定党委议事制度，实行“集体领导、分工负责、督查督办”。</w:t>
      </w:r>
      <w:r>
        <w:rPr>
          <w:rFonts w:hint="eastAsia" w:ascii="仿宋_GB2312" w:hAnsi="仿宋_GB2312" w:eastAsia="仿宋_GB2312" w:cs="仿宋_GB2312"/>
          <w:sz w:val="32"/>
          <w:szCs w:val="32"/>
        </w:rPr>
        <w:t>成立了</w:t>
      </w:r>
      <w:r>
        <w:rPr>
          <w:rFonts w:hint="eastAsia" w:ascii="仿宋_GB2312" w:hAnsi="仿宋_GB2312" w:eastAsia="仿宋_GB2312" w:cs="仿宋_GB2312"/>
          <w:sz w:val="32"/>
          <w:szCs w:val="32"/>
          <w:lang w:eastAsia="zh-CN"/>
        </w:rPr>
        <w:t>县农机事务中心</w:t>
      </w:r>
      <w:r>
        <w:rPr>
          <w:rFonts w:hint="eastAsia" w:ascii="仿宋_GB2312" w:hAnsi="仿宋_GB2312" w:eastAsia="仿宋_GB2312" w:cs="仿宋_GB2312"/>
          <w:sz w:val="32"/>
          <w:szCs w:val="32"/>
        </w:rPr>
        <w:t>法治政府建设工作领导小组，制定了工作方案并实施。将法律法规学习列为领导干部理论学习中心组学习重要内容，并进行专题学习。</w:t>
      </w:r>
    </w:p>
    <w:p>
      <w:pPr>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二是带动“绝大多数”，强化法制教育。开展干部职工集体学法活动，进行学法用法考试；建立规范性文件管理系统。全面梳理行政执法依据；实行网上政务和电子监察系统服务；结合农机业务工作培训，认真开展部门法律法规宣传，定期举办新驾驶人培训班进行集中培训，营造全体农机人知法守法良好氛围。</w:t>
      </w:r>
    </w:p>
    <w:p>
      <w:pPr>
        <w:ind w:firstLine="640" w:firstLineChars="200"/>
        <w:rPr>
          <w:rFonts w:hint="eastAsia" w:ascii="仿宋" w:hAnsi="仿宋" w:eastAsia="仿宋"/>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存在</w:t>
      </w:r>
      <w:r>
        <w:rPr>
          <w:rFonts w:hint="eastAsia" w:ascii="黑体" w:hAnsi="黑体" w:eastAsia="黑体" w:cs="黑体"/>
          <w:sz w:val="32"/>
          <w:szCs w:val="32"/>
          <w:lang w:eastAsia="zh-CN"/>
        </w:rPr>
        <w:t>的</w:t>
      </w:r>
      <w:r>
        <w:rPr>
          <w:rFonts w:hint="eastAsia" w:ascii="黑体" w:hAnsi="黑体" w:eastAsia="黑体" w:cs="黑体"/>
          <w:sz w:val="32"/>
          <w:szCs w:val="32"/>
        </w:rPr>
        <w:t>问题</w:t>
      </w:r>
    </w:p>
    <w:p>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lang w:eastAsia="zh-CN"/>
        </w:rPr>
        <w:t>（一）农机化</w:t>
      </w:r>
      <w:r>
        <w:rPr>
          <w:rFonts w:hint="eastAsia" w:ascii="楷体" w:hAnsi="楷体" w:eastAsia="楷体" w:cs="楷体"/>
          <w:b/>
          <w:bCs/>
          <w:sz w:val="32"/>
          <w:szCs w:val="32"/>
        </w:rPr>
        <w:t>全程覆盖不广。</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一是水稻全程机械化作业有短板，机械化育插秧率仅为</w:t>
      </w:r>
      <w:r>
        <w:rPr>
          <w:rFonts w:hint="eastAsia" w:ascii="仿宋_GB2312" w:hAnsi="仿宋_GB2312" w:eastAsia="仿宋_GB2312" w:cs="仿宋_GB2312"/>
          <w:sz w:val="32"/>
          <w:szCs w:val="32"/>
          <w:lang w:val="en-US" w:eastAsia="zh-CN"/>
        </w:rPr>
        <w:t>38.8</w:t>
      </w:r>
      <w:r>
        <w:rPr>
          <w:rFonts w:hint="eastAsia" w:ascii="仿宋_GB2312" w:hAnsi="仿宋_GB2312" w:eastAsia="仿宋_GB2312" w:cs="仿宋_GB2312"/>
          <w:sz w:val="32"/>
          <w:szCs w:val="32"/>
        </w:rPr>
        <w:t>%；二是谷物烘干设备布局有盲点，我县中部地区和部分山区产粮乡镇并无大中型谷物烘干设备，比如佘家坪乡和原兴隆街乡；三是因生产成本、种植规模、自然条件和历史习惯等原因制约，玉米等其他粮食作物机械化率和山丘区粮食生产机械化率偏低。</w:t>
      </w:r>
    </w:p>
    <w:p>
      <w:pPr>
        <w:numPr>
          <w:ilvl w:val="0"/>
          <w:numId w:val="4"/>
        </w:numPr>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农机安全监管难度大。</w:t>
      </w:r>
    </w:p>
    <w:p>
      <w:pPr>
        <w:numPr>
          <w:ilvl w:val="0"/>
          <w:numId w:val="0"/>
        </w:numPr>
        <w:ind w:firstLine="640" w:firstLineChars="200"/>
        <w:rPr>
          <w:rFonts w:hint="eastAsia" w:ascii="仿宋_GB2312" w:hAnsi="仿宋_GB2312" w:eastAsia="仿宋_GB2312" w:cs="仿宋_GB2312"/>
          <w:b w:val="0"/>
          <w:bCs w:val="0"/>
          <w:color w:val="000000" w:themeColor="text1"/>
          <w:sz w:val="32"/>
          <w:szCs w:val="32"/>
          <w:lang w:val="en-US" w:eastAsia="zh-CN"/>
        </w:rPr>
      </w:pPr>
      <w:r>
        <w:rPr>
          <w:rFonts w:hint="eastAsia" w:ascii="仿宋_GB2312" w:hAnsi="仿宋_GB2312" w:eastAsia="仿宋_GB2312" w:cs="仿宋_GB2312"/>
          <w:b w:val="0"/>
          <w:bCs w:val="0"/>
          <w:sz w:val="32"/>
          <w:szCs w:val="32"/>
          <w:lang w:val="en-US" w:eastAsia="zh-CN"/>
        </w:rPr>
        <w:t>目前全县拥有拖拉机4078台，收割机3441台，农机驾驶员3694人，新的道交法实施后，农机部门已将</w:t>
      </w:r>
      <w:r>
        <w:rPr>
          <w:rFonts w:hint="eastAsia" w:ascii="仿宋_GB2312" w:hAnsi="仿宋_GB2312" w:eastAsia="仿宋_GB2312" w:cs="仿宋_GB2312"/>
          <w:sz w:val="32"/>
          <w:szCs w:val="32"/>
          <w:lang w:val="en-US" w:eastAsia="zh-CN"/>
        </w:rPr>
        <w:t>拖拉机及其驾驶人的交通违法行为和交通事故进行处理职责移交给公安交警部门，已无上路执法权，</w:t>
      </w:r>
      <w:r>
        <w:rPr>
          <w:rFonts w:hint="eastAsia" w:ascii="仿宋_GB2312" w:hAnsi="仿宋_GB2312" w:eastAsia="仿宋_GB2312" w:cs="仿宋_GB2312"/>
          <w:b w:val="0"/>
          <w:bCs w:val="0"/>
          <w:color w:val="000000" w:themeColor="text1"/>
          <w:sz w:val="32"/>
          <w:szCs w:val="32"/>
          <w:lang w:val="en-US" w:eastAsia="zh-CN"/>
        </w:rPr>
        <w:t>由于执法力量薄弱，面对全县庞大的拖拉机存量，显得力不从心，存在严重的安全风险。</w:t>
      </w:r>
    </w:p>
    <w:p>
      <w:pPr>
        <w:numPr>
          <w:ilvl w:val="0"/>
          <w:numId w:val="0"/>
        </w:numPr>
        <w:spacing w:line="600" w:lineRule="exact"/>
        <w:ind w:firstLine="643" w:firstLineChars="200"/>
        <w:rPr>
          <w:rFonts w:hint="eastAsia" w:ascii="楷体" w:hAnsi="楷体" w:eastAsia="楷体"/>
          <w:b/>
          <w:bCs/>
          <w:sz w:val="32"/>
          <w:szCs w:val="32"/>
          <w:lang w:eastAsia="zh-CN"/>
        </w:rPr>
      </w:pPr>
      <w:r>
        <w:rPr>
          <w:rFonts w:hint="eastAsia" w:ascii="楷体" w:hAnsi="楷体" w:eastAsia="楷体"/>
          <w:b/>
          <w:bCs/>
          <w:sz w:val="32"/>
          <w:szCs w:val="32"/>
          <w:lang w:eastAsia="zh-CN"/>
        </w:rPr>
        <w:t>（三）</w:t>
      </w:r>
      <w:r>
        <w:rPr>
          <w:rFonts w:hint="eastAsia" w:ascii="楷体" w:hAnsi="楷体" w:eastAsia="楷体"/>
          <w:b/>
          <w:bCs/>
          <w:sz w:val="32"/>
          <w:szCs w:val="32"/>
        </w:rPr>
        <w:t>推广力度不</w:t>
      </w:r>
      <w:r>
        <w:rPr>
          <w:rFonts w:hint="eastAsia" w:ascii="楷体" w:hAnsi="楷体" w:eastAsia="楷体"/>
          <w:b/>
          <w:bCs/>
          <w:sz w:val="32"/>
          <w:szCs w:val="32"/>
          <w:lang w:eastAsia="zh-CN"/>
        </w:rPr>
        <w:t>强。</w:t>
      </w:r>
    </w:p>
    <w:p>
      <w:pPr>
        <w:numPr>
          <w:ilvl w:val="0"/>
          <w:numId w:val="0"/>
        </w:numPr>
        <w:ind w:firstLine="640" w:firstLineChars="200"/>
        <w:rPr>
          <w:rFonts w:hint="eastAsia" w:ascii="仿宋" w:hAnsi="仿宋" w:eastAsia="仿宋"/>
          <w:sz w:val="32"/>
          <w:szCs w:val="32"/>
          <w:lang w:eastAsia="zh-CN"/>
        </w:rPr>
      </w:pPr>
      <w:r>
        <w:rPr>
          <w:rFonts w:hint="eastAsia" w:ascii="仿宋_GB2312" w:hAnsi="仿宋_GB2312" w:eastAsia="仿宋_GB2312" w:cs="仿宋_GB2312"/>
          <w:sz w:val="32"/>
          <w:szCs w:val="32"/>
        </w:rPr>
        <w:t>我县农机推广存在部门职能交叉、手段单一、项目缺乏和</w:t>
      </w:r>
      <w:r>
        <w:rPr>
          <w:rFonts w:hint="eastAsia" w:ascii="仿宋_GB2312" w:hAnsi="仿宋_GB2312" w:eastAsia="仿宋_GB2312" w:cs="仿宋_GB2312"/>
          <w:sz w:val="32"/>
          <w:szCs w:val="32"/>
          <w:lang w:eastAsia="zh-CN"/>
        </w:rPr>
        <w:t>经费不足</w:t>
      </w:r>
      <w:r>
        <w:rPr>
          <w:rFonts w:hint="eastAsia" w:ascii="仿宋_GB2312" w:hAnsi="仿宋_GB2312" w:eastAsia="仿宋_GB2312" w:cs="仿宋_GB2312"/>
          <w:sz w:val="32"/>
          <w:szCs w:val="32"/>
        </w:rPr>
        <w:t>等问题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面对新型机械设备更新换代加速，</w:t>
      </w:r>
      <w:r>
        <w:rPr>
          <w:rFonts w:hint="eastAsia" w:ascii="仿宋_GB2312" w:hAnsi="仿宋_GB2312" w:eastAsia="仿宋_GB2312" w:cs="仿宋_GB2312"/>
          <w:sz w:val="32"/>
          <w:szCs w:val="32"/>
          <w:lang w:eastAsia="zh-CN"/>
        </w:rPr>
        <w:t>受制于专业合作社规模和农机手素质能力，许多技术先进、质量过硬的大型装备未能推广应用。</w:t>
      </w:r>
    </w:p>
    <w:p>
      <w:pPr>
        <w:widowControl/>
        <w:numPr>
          <w:ilvl w:val="0"/>
          <w:numId w:val="0"/>
        </w:numPr>
        <w:shd w:val="clear" w:fill="FFFFFF" w:themeFill="background1"/>
        <w:spacing w:line="600" w:lineRule="exact"/>
        <w:ind w:firstLine="640" w:firstLineChars="200"/>
        <w:rPr>
          <w:rFonts w:hint="eastAsia" w:ascii="黑体" w:hAnsi="黑体" w:eastAsia="黑体" w:cs="黑体"/>
          <w:color w:val="222222"/>
          <w:kern w:val="0"/>
          <w:sz w:val="32"/>
          <w:szCs w:val="32"/>
          <w:highlight w:val="none"/>
          <w:lang w:eastAsia="zh-CN"/>
        </w:rPr>
      </w:pPr>
      <w:r>
        <w:rPr>
          <w:rFonts w:hint="eastAsia" w:ascii="黑体" w:hAnsi="黑体" w:eastAsia="黑体" w:cs="黑体"/>
          <w:color w:val="222222"/>
          <w:kern w:val="0"/>
          <w:sz w:val="32"/>
          <w:szCs w:val="32"/>
          <w:highlight w:val="none"/>
          <w:lang w:val="en-US" w:eastAsia="zh-CN"/>
        </w:rPr>
        <w:t>八、</w:t>
      </w:r>
      <w:r>
        <w:rPr>
          <w:rFonts w:hint="eastAsia" w:ascii="黑体" w:hAnsi="黑体" w:eastAsia="黑体" w:cs="黑体"/>
          <w:color w:val="222222"/>
          <w:kern w:val="0"/>
          <w:sz w:val="32"/>
          <w:szCs w:val="32"/>
          <w:highlight w:val="none"/>
          <w:lang w:eastAsia="zh-CN"/>
        </w:rPr>
        <w:t>有关建议</w:t>
      </w:r>
    </w:p>
    <w:p>
      <w:pPr>
        <w:widowControl/>
        <w:numPr>
          <w:ilvl w:val="0"/>
          <w:numId w:val="0"/>
        </w:numPr>
        <w:shd w:val="clear" w:fill="FFFFFF" w:themeFill="background1"/>
        <w:spacing w:line="600" w:lineRule="exact"/>
        <w:ind w:firstLine="640" w:firstLineChars="200"/>
        <w:rPr>
          <w:rFonts w:hint="eastAsia" w:ascii="仿宋" w:hAnsi="仿宋" w:eastAsia="仿宋" w:cs="仿宋"/>
          <w:color w:val="222222"/>
          <w:kern w:val="0"/>
          <w:sz w:val="32"/>
          <w:szCs w:val="32"/>
          <w:highlight w:val="none"/>
          <w:lang w:val="en-US" w:eastAsia="zh-CN"/>
        </w:rPr>
      </w:pPr>
      <w:r>
        <w:rPr>
          <w:rFonts w:hint="eastAsia" w:ascii="仿宋" w:hAnsi="仿宋" w:eastAsia="仿宋" w:cs="仿宋"/>
          <w:color w:val="222222"/>
          <w:kern w:val="0"/>
          <w:sz w:val="32"/>
          <w:szCs w:val="32"/>
          <w:highlight w:val="none"/>
          <w:lang w:val="en-US" w:eastAsia="zh-CN"/>
        </w:rPr>
        <w:t>农机事业要实现跨越式发展，要以转变农业增长方式，促进农业增效，农民增收，全面推进现代农业发展为目标，以立足大农业，发展大农机，实现大跨越为理念，不断加强农机技术推广服务体系建设和农田基础设施建设，实现机械装备从种植机械向种、养、加工、储藏保鲜，农业工程等方面全面协调发展转变，作业机具从低效率、高消耗、单一作业的小型机具向高智能、高效率、低能耗的大中型复式作业机具转变，着力解决制约农机事业发展的瓶颈。</w:t>
      </w:r>
    </w:p>
    <w:p>
      <w:pPr>
        <w:widowControl/>
        <w:numPr>
          <w:ilvl w:val="0"/>
          <w:numId w:val="0"/>
        </w:numPr>
        <w:shd w:val="clear" w:fill="FFFFFF" w:themeFill="background1"/>
        <w:spacing w:line="600" w:lineRule="exact"/>
        <w:ind w:firstLine="640" w:firstLineChars="200"/>
        <w:rPr>
          <w:rFonts w:hint="eastAsia" w:ascii="仿宋" w:hAnsi="仿宋" w:eastAsia="仿宋" w:cs="仿宋"/>
          <w:color w:val="222222"/>
          <w:kern w:val="0"/>
          <w:sz w:val="32"/>
          <w:szCs w:val="32"/>
          <w:highlight w:val="none"/>
          <w:lang w:val="en-US" w:eastAsia="zh-CN"/>
        </w:rPr>
      </w:pPr>
    </w:p>
    <w:p>
      <w:pPr>
        <w:widowControl/>
        <w:numPr>
          <w:ilvl w:val="0"/>
          <w:numId w:val="0"/>
        </w:numPr>
        <w:shd w:val="clear" w:fill="FFFFFF" w:themeFill="background1"/>
        <w:spacing w:line="600" w:lineRule="exact"/>
        <w:ind w:firstLine="640" w:firstLineChars="200"/>
        <w:rPr>
          <w:rFonts w:hint="eastAsia" w:ascii="仿宋" w:hAnsi="仿宋" w:eastAsia="仿宋" w:cs="仿宋"/>
          <w:color w:val="222222"/>
          <w:kern w:val="0"/>
          <w:sz w:val="32"/>
          <w:szCs w:val="32"/>
          <w:highlight w:val="none"/>
          <w:lang w:val="en-US" w:eastAsia="zh-CN"/>
        </w:rPr>
      </w:pPr>
    </w:p>
    <w:p>
      <w:pPr>
        <w:widowControl/>
        <w:numPr>
          <w:ilvl w:val="0"/>
          <w:numId w:val="0"/>
        </w:numPr>
        <w:shd w:val="clear" w:fill="FFFFFF" w:themeFill="background1"/>
        <w:spacing w:line="600" w:lineRule="exact"/>
        <w:ind w:firstLine="640" w:firstLineChars="200"/>
        <w:rPr>
          <w:rFonts w:hint="eastAsia" w:ascii="仿宋" w:hAnsi="仿宋" w:eastAsia="仿宋" w:cs="仿宋"/>
          <w:color w:val="222222"/>
          <w:kern w:val="0"/>
          <w:sz w:val="32"/>
          <w:szCs w:val="32"/>
          <w:highlight w:val="none"/>
          <w:lang w:val="en-US" w:eastAsia="zh-CN"/>
        </w:rPr>
      </w:pPr>
    </w:p>
    <w:p>
      <w:pPr>
        <w:widowControl/>
        <w:numPr>
          <w:ilvl w:val="0"/>
          <w:numId w:val="0"/>
        </w:numPr>
        <w:shd w:val="clear" w:fill="FFFFFF" w:themeFill="background1"/>
        <w:spacing w:line="600" w:lineRule="exact"/>
        <w:ind w:firstLine="640" w:firstLineChars="200"/>
        <w:rPr>
          <w:rFonts w:hint="eastAsia" w:ascii="仿宋" w:hAnsi="仿宋" w:eastAsia="仿宋" w:cs="仿宋"/>
          <w:color w:val="222222"/>
          <w:kern w:val="0"/>
          <w:sz w:val="32"/>
          <w:szCs w:val="32"/>
          <w:highlight w:val="none"/>
          <w:lang w:val="en-US" w:eastAsia="zh-CN"/>
        </w:rPr>
      </w:pPr>
    </w:p>
    <w:p>
      <w:pPr>
        <w:widowControl/>
        <w:numPr>
          <w:ilvl w:val="0"/>
          <w:numId w:val="0"/>
        </w:numPr>
        <w:shd w:val="clear" w:fill="FFFFFF" w:themeFill="background1"/>
        <w:spacing w:line="600" w:lineRule="exact"/>
        <w:ind w:firstLine="640" w:firstLineChars="200"/>
        <w:rPr>
          <w:rFonts w:hint="eastAsia" w:ascii="仿宋" w:hAnsi="仿宋" w:eastAsia="仿宋" w:cs="仿宋"/>
          <w:color w:val="222222"/>
          <w:kern w:val="0"/>
          <w:sz w:val="32"/>
          <w:szCs w:val="32"/>
          <w:highlight w:val="none"/>
          <w:lang w:val="en-US" w:eastAsia="zh-CN"/>
        </w:rPr>
      </w:pPr>
    </w:p>
    <w:p>
      <w:pPr>
        <w:widowControl/>
        <w:numPr>
          <w:ilvl w:val="0"/>
          <w:numId w:val="0"/>
        </w:numPr>
        <w:shd w:val="clear" w:fill="FFFFFF" w:themeFill="background1"/>
        <w:spacing w:line="600" w:lineRule="exact"/>
        <w:ind w:firstLine="640" w:firstLineChars="200"/>
        <w:rPr>
          <w:rFonts w:hint="eastAsia" w:ascii="仿宋" w:hAnsi="仿宋" w:eastAsia="仿宋" w:cs="仿宋"/>
          <w:color w:val="222222"/>
          <w:kern w:val="0"/>
          <w:sz w:val="32"/>
          <w:szCs w:val="32"/>
          <w:highlight w:val="none"/>
          <w:lang w:val="en-US" w:eastAsia="zh-CN"/>
        </w:rPr>
      </w:pPr>
    </w:p>
    <w:p>
      <w:pPr>
        <w:widowControl/>
        <w:numPr>
          <w:ilvl w:val="0"/>
          <w:numId w:val="0"/>
        </w:numPr>
        <w:shd w:val="clear" w:fill="FFFFFF" w:themeFill="background1"/>
        <w:spacing w:line="600" w:lineRule="exact"/>
        <w:ind w:firstLine="640" w:firstLineChars="200"/>
        <w:rPr>
          <w:rFonts w:hint="eastAsia" w:ascii="仿宋" w:hAnsi="仿宋" w:eastAsia="仿宋" w:cs="仿宋"/>
          <w:color w:val="222222"/>
          <w:kern w:val="0"/>
          <w:sz w:val="32"/>
          <w:szCs w:val="32"/>
          <w:highlight w:val="none"/>
          <w:lang w:val="en-US" w:eastAsia="zh-CN"/>
        </w:rPr>
      </w:pPr>
    </w:p>
    <w:p>
      <w:pPr>
        <w:widowControl/>
        <w:numPr>
          <w:ilvl w:val="0"/>
          <w:numId w:val="0"/>
        </w:numPr>
        <w:shd w:val="clear" w:fill="FFFFFF" w:themeFill="background1"/>
        <w:spacing w:line="600" w:lineRule="exact"/>
        <w:ind w:firstLine="640" w:firstLineChars="200"/>
        <w:rPr>
          <w:rFonts w:hint="eastAsia" w:ascii="仿宋" w:hAnsi="仿宋" w:eastAsia="仿宋" w:cs="仿宋"/>
          <w:color w:val="222222"/>
          <w:kern w:val="0"/>
          <w:sz w:val="32"/>
          <w:szCs w:val="32"/>
          <w:highlight w:val="none"/>
          <w:lang w:val="en-US" w:eastAsia="zh-CN"/>
        </w:rPr>
      </w:pPr>
    </w:p>
    <w:p>
      <w:pPr>
        <w:widowControl/>
        <w:numPr>
          <w:ilvl w:val="0"/>
          <w:numId w:val="0"/>
        </w:numPr>
        <w:shd w:val="clear" w:fill="FFFFFF" w:themeFill="background1"/>
        <w:spacing w:line="600" w:lineRule="exact"/>
        <w:ind w:firstLine="640" w:firstLineChars="200"/>
        <w:rPr>
          <w:rFonts w:hint="eastAsia" w:ascii="仿宋" w:hAnsi="仿宋" w:eastAsia="仿宋" w:cs="仿宋"/>
          <w:color w:val="222222"/>
          <w:kern w:val="0"/>
          <w:sz w:val="32"/>
          <w:szCs w:val="32"/>
          <w:highlight w:val="none"/>
          <w:lang w:val="en-US" w:eastAsia="zh-CN"/>
        </w:rPr>
      </w:pPr>
    </w:p>
    <w:p>
      <w:pPr>
        <w:widowControl/>
        <w:numPr>
          <w:ilvl w:val="0"/>
          <w:numId w:val="0"/>
        </w:numPr>
        <w:shd w:val="clear" w:fill="FFFFFF" w:themeFill="background1"/>
        <w:spacing w:line="600" w:lineRule="exact"/>
        <w:ind w:firstLine="640" w:firstLineChars="200"/>
        <w:rPr>
          <w:rFonts w:hint="eastAsia" w:ascii="仿宋" w:hAnsi="仿宋" w:eastAsia="仿宋" w:cs="仿宋"/>
          <w:color w:val="222222"/>
          <w:kern w:val="0"/>
          <w:sz w:val="32"/>
          <w:szCs w:val="32"/>
          <w:highlight w:val="none"/>
          <w:lang w:val="en-US" w:eastAsia="zh-CN"/>
        </w:rPr>
      </w:pPr>
    </w:p>
    <w:p>
      <w:pPr>
        <w:widowControl/>
        <w:numPr>
          <w:ilvl w:val="0"/>
          <w:numId w:val="0"/>
        </w:numPr>
        <w:shd w:val="clear" w:fill="FFFFFF" w:themeFill="background1"/>
        <w:spacing w:line="600" w:lineRule="exact"/>
        <w:ind w:firstLine="640" w:firstLineChars="200"/>
        <w:rPr>
          <w:rFonts w:hint="eastAsia" w:ascii="仿宋" w:hAnsi="仿宋" w:eastAsia="仿宋" w:cs="仿宋"/>
          <w:color w:val="222222"/>
          <w:kern w:val="0"/>
          <w:sz w:val="32"/>
          <w:szCs w:val="32"/>
          <w:highlight w:val="none"/>
          <w:lang w:val="en-US" w:eastAsia="zh-CN"/>
        </w:rPr>
      </w:pPr>
    </w:p>
    <w:p>
      <w:pPr>
        <w:widowControl/>
        <w:numPr>
          <w:ilvl w:val="0"/>
          <w:numId w:val="0"/>
        </w:numPr>
        <w:shd w:val="clear" w:fill="FFFFFF" w:themeFill="background1"/>
        <w:spacing w:line="600" w:lineRule="exact"/>
        <w:ind w:firstLine="640" w:firstLineChars="200"/>
        <w:rPr>
          <w:rFonts w:hint="eastAsia" w:ascii="仿宋" w:hAnsi="仿宋" w:eastAsia="仿宋" w:cs="仿宋"/>
          <w:color w:val="222222"/>
          <w:kern w:val="0"/>
          <w:sz w:val="32"/>
          <w:szCs w:val="32"/>
          <w:highlight w:val="none"/>
          <w:lang w:val="en-US" w:eastAsia="zh-CN"/>
        </w:rPr>
      </w:pPr>
    </w:p>
    <w:p>
      <w:pPr>
        <w:widowControl/>
        <w:numPr>
          <w:ilvl w:val="0"/>
          <w:numId w:val="0"/>
        </w:numPr>
        <w:shd w:val="clear" w:fill="FFFFFF" w:themeFill="background1"/>
        <w:spacing w:line="600" w:lineRule="exact"/>
        <w:ind w:firstLine="640" w:firstLineChars="200"/>
        <w:rPr>
          <w:rFonts w:hint="eastAsia" w:ascii="仿宋" w:hAnsi="仿宋" w:eastAsia="仿宋" w:cs="仿宋"/>
          <w:color w:val="222222"/>
          <w:kern w:val="0"/>
          <w:sz w:val="32"/>
          <w:szCs w:val="32"/>
          <w:highlight w:val="none"/>
          <w:lang w:val="en-US" w:eastAsia="zh-CN"/>
        </w:rPr>
      </w:pPr>
    </w:p>
    <w:p>
      <w:pPr>
        <w:widowControl/>
        <w:numPr>
          <w:ilvl w:val="0"/>
          <w:numId w:val="0"/>
        </w:numPr>
        <w:shd w:val="clear" w:fill="FFFFFF" w:themeFill="background1"/>
        <w:spacing w:line="600" w:lineRule="exact"/>
        <w:ind w:firstLine="640" w:firstLineChars="200"/>
        <w:rPr>
          <w:rFonts w:hint="eastAsia" w:ascii="仿宋" w:hAnsi="仿宋" w:eastAsia="仿宋" w:cs="仿宋"/>
          <w:color w:val="222222"/>
          <w:kern w:val="0"/>
          <w:sz w:val="32"/>
          <w:szCs w:val="32"/>
          <w:highlight w:val="none"/>
          <w:lang w:val="en-US" w:eastAsia="zh-CN"/>
        </w:rPr>
      </w:pPr>
    </w:p>
    <w:p>
      <w:pPr>
        <w:widowControl/>
        <w:numPr>
          <w:ilvl w:val="0"/>
          <w:numId w:val="0"/>
        </w:numPr>
        <w:shd w:val="clear" w:fill="FFFFFF" w:themeFill="background1"/>
        <w:spacing w:line="600" w:lineRule="exact"/>
        <w:ind w:firstLine="640" w:firstLineChars="200"/>
        <w:rPr>
          <w:rFonts w:hint="eastAsia" w:ascii="仿宋" w:hAnsi="仿宋" w:eastAsia="仿宋" w:cs="仿宋"/>
          <w:color w:val="222222"/>
          <w:kern w:val="0"/>
          <w:sz w:val="32"/>
          <w:szCs w:val="32"/>
          <w:highlight w:val="none"/>
          <w:lang w:val="en-US" w:eastAsia="zh-CN"/>
        </w:rPr>
      </w:pPr>
    </w:p>
    <w:tbl>
      <w:tblPr>
        <w:tblStyle w:val="9"/>
        <w:tblpPr w:leftFromText="180" w:rightFromText="180" w:vertAnchor="text" w:horzAnchor="page" w:tblpXSpec="center" w:tblpY="-58"/>
        <w:tblOverlap w:val="never"/>
        <w:tblW w:w="9429" w:type="dxa"/>
        <w:jc w:val="center"/>
        <w:tblInd w:w="0" w:type="dxa"/>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561"/>
        <w:gridCol w:w="585"/>
        <w:gridCol w:w="652"/>
        <w:gridCol w:w="365"/>
        <w:gridCol w:w="3373"/>
        <w:gridCol w:w="3237"/>
        <w:gridCol w:w="656"/>
      </w:tblGrid>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58" w:hRule="atLeast"/>
          <w:tblHeader/>
          <w:jc w:val="center"/>
        </w:trPr>
        <w:tc>
          <w:tcPr>
            <w:tcW w:w="9429" w:type="dxa"/>
            <w:gridSpan w:val="7"/>
            <w:tcBorders>
              <w:bottom w:val="single" w:color="auto" w:sz="4" w:space="0"/>
            </w:tcBorders>
            <w:tcMar>
              <w:top w:w="15" w:type="dxa"/>
              <w:left w:w="15" w:type="dxa"/>
              <w:right w:w="15" w:type="dxa"/>
            </w:tcMar>
            <w:vAlign w:val="center"/>
          </w:tcPr>
          <w:p>
            <w:pPr>
              <w:widowControl/>
              <w:spacing w:before="156" w:beforeLines="50" w:after="156" w:afterLines="50"/>
              <w:jc w:val="center"/>
              <w:rPr>
                <w:rFonts w:hint="eastAsia" w:ascii="Times New Roman" w:hAnsi="Times New Roman" w:eastAsia="黑体" w:cs="Times New Roman"/>
                <w:bCs/>
                <w:kern w:val="0"/>
                <w:sz w:val="24"/>
                <w:szCs w:val="24"/>
                <w:lang w:bidi="ar"/>
              </w:rPr>
            </w:pPr>
            <w:r>
              <w:rPr>
                <w:rFonts w:ascii="Times New Roman" w:hAnsi="Times New Roman" w:eastAsia="方正小标宋_GBK" w:cs="Times New Roman"/>
                <w:kern w:val="0"/>
                <w:sz w:val="36"/>
                <w:szCs w:val="36"/>
              </w:rPr>
              <w:t>部门整体支出绩效评价指标表</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741" w:hRule="atLeast"/>
          <w:tblHeader/>
          <w:jc w:val="center"/>
        </w:trPr>
        <w:tc>
          <w:tcPr>
            <w:tcW w:w="5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Times New Roman" w:hAnsi="Times New Roman" w:eastAsia="黑体" w:cs="Times New Roman"/>
                <w:bCs/>
                <w:sz w:val="24"/>
                <w:szCs w:val="24"/>
              </w:rPr>
            </w:pPr>
            <w:r>
              <w:rPr>
                <w:rFonts w:ascii="Times New Roman" w:hAnsi="Times New Roman" w:eastAsia="黑体" w:cs="Times New Roman"/>
                <w:bCs/>
                <w:kern w:val="0"/>
                <w:sz w:val="24"/>
                <w:szCs w:val="24"/>
                <w:lang w:bidi="ar"/>
              </w:rPr>
              <w:t>一级</w:t>
            </w:r>
            <w:r>
              <w:rPr>
                <w:rFonts w:ascii="Times New Roman" w:hAnsi="Times New Roman" w:eastAsia="黑体" w:cs="Times New Roman"/>
                <w:bCs/>
                <w:kern w:val="0"/>
                <w:sz w:val="24"/>
                <w:szCs w:val="24"/>
                <w:lang w:bidi="ar"/>
              </w:rPr>
              <w:br w:type="textWrapping"/>
            </w:r>
            <w:r>
              <w:rPr>
                <w:rFonts w:ascii="Times New Roman" w:hAnsi="Times New Roman" w:eastAsia="黑体" w:cs="Times New Roman"/>
                <w:bCs/>
                <w:kern w:val="0"/>
                <w:sz w:val="24"/>
                <w:szCs w:val="24"/>
                <w:lang w:bidi="ar"/>
              </w:rPr>
              <w:t>指标</w:t>
            </w:r>
          </w:p>
        </w:tc>
        <w:tc>
          <w:tcPr>
            <w:tcW w:w="5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黑体" w:cs="Times New Roman"/>
                <w:bCs/>
                <w:sz w:val="24"/>
                <w:szCs w:val="24"/>
              </w:rPr>
            </w:pPr>
            <w:r>
              <w:rPr>
                <w:rFonts w:ascii="Times New Roman" w:hAnsi="Times New Roman" w:eastAsia="黑体" w:cs="Times New Roman"/>
                <w:bCs/>
                <w:kern w:val="0"/>
                <w:sz w:val="24"/>
                <w:szCs w:val="24"/>
                <w:lang w:bidi="ar"/>
              </w:rPr>
              <w:t>二级</w:t>
            </w:r>
            <w:r>
              <w:rPr>
                <w:rFonts w:ascii="Times New Roman" w:hAnsi="Times New Roman" w:eastAsia="黑体" w:cs="Times New Roman"/>
                <w:bCs/>
                <w:kern w:val="0"/>
                <w:sz w:val="24"/>
                <w:szCs w:val="24"/>
                <w:lang w:bidi="ar"/>
              </w:rPr>
              <w:br w:type="textWrapping"/>
            </w:r>
            <w:r>
              <w:rPr>
                <w:rFonts w:ascii="Times New Roman" w:hAnsi="Times New Roman" w:eastAsia="黑体" w:cs="Times New Roman"/>
                <w:bCs/>
                <w:kern w:val="0"/>
                <w:sz w:val="24"/>
                <w:szCs w:val="24"/>
                <w:lang w:bidi="ar"/>
              </w:rPr>
              <w:t>指标</w:t>
            </w: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黑体" w:cs="Times New Roman"/>
                <w:bCs/>
                <w:kern w:val="0"/>
                <w:sz w:val="24"/>
                <w:szCs w:val="24"/>
                <w:lang w:bidi="ar"/>
              </w:rPr>
            </w:pPr>
            <w:r>
              <w:rPr>
                <w:rFonts w:ascii="Times New Roman" w:hAnsi="Times New Roman" w:eastAsia="黑体" w:cs="Times New Roman"/>
                <w:bCs/>
                <w:kern w:val="0"/>
                <w:sz w:val="24"/>
                <w:szCs w:val="24"/>
                <w:lang w:bidi="ar"/>
              </w:rPr>
              <w:t>三级</w:t>
            </w:r>
          </w:p>
          <w:p>
            <w:pPr>
              <w:widowControl/>
              <w:spacing w:line="300" w:lineRule="exact"/>
              <w:jc w:val="center"/>
              <w:textAlignment w:val="center"/>
              <w:rPr>
                <w:rFonts w:ascii="Times New Roman" w:hAnsi="Times New Roman" w:eastAsia="黑体" w:cs="Times New Roman"/>
                <w:bCs/>
                <w:sz w:val="24"/>
                <w:szCs w:val="24"/>
              </w:rPr>
            </w:pPr>
            <w:r>
              <w:rPr>
                <w:rFonts w:ascii="Times New Roman" w:hAnsi="Times New Roman" w:eastAsia="黑体" w:cs="Times New Roman"/>
                <w:bCs/>
                <w:kern w:val="0"/>
                <w:sz w:val="24"/>
                <w:szCs w:val="24"/>
                <w:lang w:bidi="ar"/>
              </w:rPr>
              <w:t>指标</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黑体" w:cs="Times New Roman"/>
                <w:bCs/>
                <w:sz w:val="24"/>
                <w:szCs w:val="24"/>
              </w:rPr>
            </w:pPr>
            <w:r>
              <w:rPr>
                <w:rFonts w:ascii="Times New Roman" w:hAnsi="Times New Roman" w:eastAsia="黑体" w:cs="Times New Roman"/>
                <w:bCs/>
                <w:kern w:val="0"/>
                <w:sz w:val="24"/>
                <w:szCs w:val="24"/>
                <w:lang w:bidi="ar"/>
              </w:rPr>
              <w:t>分值</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黑体" w:cs="Times New Roman"/>
                <w:bCs/>
                <w:sz w:val="24"/>
                <w:szCs w:val="24"/>
              </w:rPr>
            </w:pPr>
            <w:r>
              <w:rPr>
                <w:rFonts w:ascii="Times New Roman" w:hAnsi="Times New Roman" w:eastAsia="黑体" w:cs="Times New Roman"/>
                <w:bCs/>
                <w:kern w:val="0"/>
                <w:sz w:val="24"/>
                <w:szCs w:val="24"/>
                <w:lang w:bidi="ar"/>
              </w:rPr>
              <w:t>指标解释</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黑体" w:cs="Times New Roman"/>
                <w:bCs/>
                <w:sz w:val="24"/>
                <w:szCs w:val="24"/>
              </w:rPr>
            </w:pPr>
            <w:r>
              <w:rPr>
                <w:rFonts w:ascii="Times New Roman" w:hAnsi="Times New Roman" w:eastAsia="黑体" w:cs="Times New Roman"/>
                <w:bCs/>
                <w:kern w:val="0"/>
                <w:sz w:val="24"/>
                <w:szCs w:val="24"/>
                <w:lang w:bidi="ar"/>
              </w:rPr>
              <w:t>评分标准</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ascii="Times New Roman" w:hAnsi="Times New Roman" w:eastAsia="黑体" w:cs="Times New Roman"/>
                <w:bCs/>
                <w:kern w:val="0"/>
                <w:sz w:val="24"/>
                <w:szCs w:val="24"/>
                <w:lang w:bidi="ar"/>
              </w:rPr>
            </w:pPr>
            <w:r>
              <w:rPr>
                <w:rFonts w:hint="eastAsia" w:ascii="Times New Roman" w:hAnsi="Times New Roman" w:eastAsia="黑体" w:cs="Times New Roman"/>
                <w:bCs/>
                <w:kern w:val="0"/>
                <w:sz w:val="24"/>
                <w:szCs w:val="24"/>
                <w:lang w:bidi="ar"/>
              </w:rPr>
              <w:t>自评</w:t>
            </w:r>
          </w:p>
          <w:p>
            <w:pPr>
              <w:widowControl/>
              <w:spacing w:line="300" w:lineRule="exact"/>
              <w:jc w:val="center"/>
              <w:textAlignment w:val="center"/>
              <w:rPr>
                <w:rFonts w:ascii="Times New Roman" w:hAnsi="Times New Roman" w:eastAsia="黑体" w:cs="Times New Roman"/>
                <w:bCs/>
                <w:kern w:val="0"/>
                <w:sz w:val="24"/>
                <w:szCs w:val="24"/>
                <w:lang w:bidi="ar"/>
              </w:rPr>
            </w:pPr>
            <w:r>
              <w:rPr>
                <w:rFonts w:hint="eastAsia" w:ascii="Times New Roman" w:hAnsi="Times New Roman" w:eastAsia="黑体" w:cs="Times New Roman"/>
                <w:bCs/>
                <w:kern w:val="0"/>
                <w:sz w:val="24"/>
                <w:szCs w:val="24"/>
                <w:lang w:bidi="ar"/>
              </w:rPr>
              <w:t>得分</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2154" w:hRule="atLeast"/>
          <w:jc w:val="center"/>
        </w:trPr>
        <w:tc>
          <w:tcPr>
            <w:tcW w:w="56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28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投   入</w:t>
            </w:r>
          </w:p>
        </w:tc>
        <w:tc>
          <w:tcPr>
            <w:tcW w:w="5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目标</w:t>
            </w:r>
            <w:r>
              <w:rPr>
                <w:rFonts w:ascii="Times New Roman" w:hAnsi="Times New Roman" w:eastAsia="仿宋" w:cs="Times New Roman"/>
                <w:kern w:val="0"/>
                <w:sz w:val="24"/>
                <w:szCs w:val="24"/>
                <w:lang w:bidi="ar"/>
              </w:rPr>
              <w:br w:type="textWrapping"/>
            </w:r>
            <w:r>
              <w:rPr>
                <w:rFonts w:ascii="Times New Roman" w:hAnsi="Times New Roman" w:eastAsia="仿宋" w:cs="Times New Roman"/>
                <w:kern w:val="0"/>
                <w:sz w:val="24"/>
                <w:szCs w:val="24"/>
                <w:lang w:bidi="ar"/>
              </w:rPr>
              <w:t>设定</w:t>
            </w: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绩效目标合理性</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部门（单位）所设立的整体绩效目标依据是否充分，是否符合客观实际，用以反映和考核部门（单位）整体绩效目标与部门履职、年度工作任务的相符性情况。</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①符合国家法律法规、国民经济和社会发展总体规划，得1分；</w:t>
            </w:r>
          </w:p>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②符合部门职责，得1分；</w:t>
            </w:r>
          </w:p>
          <w:p>
            <w:pPr>
              <w:widowControl/>
              <w:spacing w:line="28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③符合部门制定的中长期实施规划，得3分。</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hint="eastAsia" w:ascii="Times New Roman" w:hAnsi="Times New Roman" w:eastAsia="仿宋" w:cs="Times New Roman"/>
                <w:kern w:val="0"/>
                <w:sz w:val="24"/>
                <w:szCs w:val="24"/>
                <w:lang w:val="en-US" w:eastAsia="zh-CN" w:bidi="ar"/>
              </w:rPr>
            </w:pPr>
            <w:r>
              <w:rPr>
                <w:rFonts w:hint="eastAsia" w:eastAsia="仿宋" w:cs="Times New Roman"/>
                <w:kern w:val="0"/>
                <w:sz w:val="24"/>
                <w:szCs w:val="24"/>
                <w:lang w:val="en-US" w:eastAsia="zh-CN"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2930"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28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绩效指标明确性</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7</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部门（单位）依据整体绩效目标所设定的绩效指标是否清晰、细化、可衡量，用以反映和考核部门（单位）整体绩效目标的明细化情况。</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①将部门整体的绩效目标细化分解为具体的工作任务，得1分；</w:t>
            </w:r>
          </w:p>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②通过清晰、可衡量的指标值予以体现，得2分；</w:t>
            </w:r>
          </w:p>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③与部门年度的任务数或计划数相对应，得2分；</w:t>
            </w:r>
          </w:p>
          <w:p>
            <w:pPr>
              <w:widowControl/>
              <w:spacing w:line="28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④与本年度部门预算资金相匹配，得2分。</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hint="eastAsia" w:ascii="Times New Roman" w:hAnsi="Times New Roman" w:eastAsia="仿宋" w:cs="Times New Roman"/>
                <w:kern w:val="0"/>
                <w:sz w:val="24"/>
                <w:szCs w:val="24"/>
                <w:lang w:val="en-US" w:eastAsia="zh-CN" w:bidi="ar"/>
              </w:rPr>
            </w:pPr>
            <w:r>
              <w:rPr>
                <w:rFonts w:hint="eastAsia" w:eastAsia="仿宋" w:cs="Times New Roman"/>
                <w:kern w:val="0"/>
                <w:sz w:val="24"/>
                <w:szCs w:val="24"/>
                <w:lang w:val="en-US" w:eastAsia="zh-CN" w:bidi="ar"/>
              </w:rPr>
              <w:t>7</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2927"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280" w:lineRule="exact"/>
              <w:jc w:val="center"/>
              <w:rPr>
                <w:rFonts w:ascii="Times New Roman" w:hAnsi="Times New Roman" w:eastAsia="仿宋" w:cs="Times New Roman"/>
                <w:sz w:val="24"/>
                <w:szCs w:val="24"/>
              </w:rPr>
            </w:pPr>
          </w:p>
        </w:tc>
        <w:tc>
          <w:tcPr>
            <w:tcW w:w="5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预算</w:t>
            </w:r>
            <w:r>
              <w:rPr>
                <w:rFonts w:ascii="Times New Roman" w:hAnsi="Times New Roman" w:eastAsia="仿宋" w:cs="Times New Roman"/>
                <w:kern w:val="0"/>
                <w:sz w:val="24"/>
                <w:szCs w:val="24"/>
                <w:lang w:bidi="ar"/>
              </w:rPr>
              <w:br w:type="textWrapping"/>
            </w:r>
            <w:r>
              <w:rPr>
                <w:rFonts w:ascii="Times New Roman" w:hAnsi="Times New Roman" w:eastAsia="仿宋" w:cs="Times New Roman"/>
                <w:kern w:val="0"/>
                <w:sz w:val="24"/>
                <w:szCs w:val="24"/>
                <w:lang w:bidi="ar"/>
              </w:rPr>
              <w:t>配置</w:t>
            </w: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在职人员控制率</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3</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在职人员控制率=（在职人员数/编制数）×100%。</w:t>
            </w:r>
          </w:p>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在职人员数：部门（单位）实际在职人数，以财政部</w:t>
            </w:r>
            <w:r>
              <w:rPr>
                <w:rFonts w:hint="eastAsia" w:ascii="Times New Roman" w:hAnsi="Times New Roman" w:eastAsia="仿宋" w:cs="Times New Roman"/>
                <w:kern w:val="0"/>
                <w:sz w:val="24"/>
                <w:szCs w:val="24"/>
                <w:lang w:bidi="ar"/>
              </w:rPr>
              <w:t>门</w:t>
            </w:r>
            <w:r>
              <w:rPr>
                <w:rFonts w:ascii="Times New Roman" w:hAnsi="Times New Roman" w:eastAsia="仿宋" w:cs="Times New Roman"/>
                <w:kern w:val="0"/>
                <w:sz w:val="24"/>
                <w:szCs w:val="24"/>
                <w:lang w:bidi="ar"/>
              </w:rPr>
              <w:t>确定的部门决算编制口径为准。扣掉编制部门和劳动部门批复同意的临聘人员。</w:t>
            </w:r>
          </w:p>
          <w:p>
            <w:pPr>
              <w:widowControl/>
              <w:spacing w:line="28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编制数：机构编制部门核定批复的部门（单位）的人员编制数。</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在职人员控制率≤100%，得3分；</w:t>
            </w:r>
          </w:p>
          <w:p>
            <w:pPr>
              <w:widowControl/>
              <w:spacing w:line="28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每超过一个百分点扣0.5分，扣完为止。</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hint="eastAsia" w:ascii="Times New Roman" w:hAnsi="Times New Roman" w:eastAsia="仿宋" w:cs="Times New Roman"/>
                <w:kern w:val="0"/>
                <w:sz w:val="24"/>
                <w:szCs w:val="24"/>
                <w:lang w:val="en-US" w:eastAsia="zh-CN" w:bidi="ar"/>
              </w:rPr>
            </w:pPr>
            <w:r>
              <w:rPr>
                <w:rFonts w:hint="eastAsia" w:eastAsia="仿宋" w:cs="Times New Roman"/>
                <w:kern w:val="0"/>
                <w:sz w:val="24"/>
                <w:szCs w:val="24"/>
                <w:lang w:val="en-US" w:eastAsia="zh-CN" w:bidi="ar"/>
              </w:rPr>
              <w:t>3</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2484"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28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“三公经费”变动率</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“三公经费”变动率=[（本年度“三公经费”预算数-上年度“三公经费”预算数）/上年度“三公经费”预算数]×100%。</w:t>
            </w:r>
          </w:p>
          <w:p>
            <w:pPr>
              <w:widowControl/>
              <w:spacing w:line="28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“三公经费”：年度预算安排的因公出国（境）费、公务车辆购置及运行费和公务招待费。</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“三公经费”变动率≤0，得5分；</w:t>
            </w:r>
          </w:p>
          <w:p>
            <w:pPr>
              <w:widowControl/>
              <w:spacing w:line="28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每超过一个百分点扣0.5分，扣完为止。</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hint="eastAsia" w:ascii="Times New Roman" w:hAnsi="Times New Roman" w:eastAsia="仿宋" w:cs="Times New Roman"/>
                <w:kern w:val="0"/>
                <w:sz w:val="24"/>
                <w:szCs w:val="24"/>
                <w:lang w:val="en-US" w:eastAsia="zh-CN" w:bidi="ar"/>
              </w:rPr>
            </w:pPr>
            <w:r>
              <w:rPr>
                <w:rFonts w:hint="eastAsia" w:eastAsia="仿宋" w:cs="Times New Roman"/>
                <w:kern w:val="0"/>
                <w:sz w:val="24"/>
                <w:szCs w:val="24"/>
                <w:lang w:val="en-US" w:eastAsia="zh-CN"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2875"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28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重点支出安排率</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重点支出安排率=（重点项目支出/项目总支出）×100%。</w:t>
            </w:r>
          </w:p>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重点项目支出：部门（单位）年度预算安排的，与本部门履职和发展密切相关、具有明显社会和经济影响、党委政府关心或社会比较关注的项目支出总额。</w:t>
            </w:r>
          </w:p>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项目总支出：部门（单位）年度预算安排的项目支出总额。</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重点支出安排率≥90%，得5分；</w:t>
            </w:r>
          </w:p>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80%（含）-90%，得4分；</w:t>
            </w:r>
          </w:p>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70%（含）-80%，得3分；</w:t>
            </w:r>
          </w:p>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60%（含）-70%，得2分；</w:t>
            </w:r>
          </w:p>
          <w:p>
            <w:pPr>
              <w:widowControl/>
              <w:spacing w:line="28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＜60%，得0分。</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hint="eastAsia" w:ascii="Times New Roman" w:hAnsi="Times New Roman" w:eastAsia="仿宋" w:cs="Times New Roman"/>
                <w:kern w:val="0"/>
                <w:sz w:val="24"/>
                <w:szCs w:val="24"/>
                <w:lang w:val="en-US" w:eastAsia="zh-CN" w:bidi="ar"/>
              </w:rPr>
            </w:pPr>
            <w:r>
              <w:rPr>
                <w:rFonts w:hint="eastAsia" w:eastAsia="仿宋" w:cs="Times New Roman"/>
                <w:kern w:val="0"/>
                <w:sz w:val="24"/>
                <w:szCs w:val="24"/>
                <w:lang w:val="en-US" w:eastAsia="zh-CN"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60" w:hRule="atLeast"/>
          <w:jc w:val="center"/>
        </w:trPr>
        <w:tc>
          <w:tcPr>
            <w:tcW w:w="56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过   程</w:t>
            </w:r>
          </w:p>
        </w:tc>
        <w:tc>
          <w:tcPr>
            <w:tcW w:w="5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预算</w:t>
            </w:r>
            <w:r>
              <w:rPr>
                <w:rFonts w:ascii="Times New Roman" w:hAnsi="Times New Roman" w:eastAsia="仿宋" w:cs="Times New Roman"/>
                <w:kern w:val="0"/>
                <w:sz w:val="24"/>
                <w:szCs w:val="24"/>
                <w:lang w:bidi="ar"/>
              </w:rPr>
              <w:br w:type="textWrapping"/>
            </w:r>
            <w:r>
              <w:rPr>
                <w:rFonts w:ascii="Times New Roman" w:hAnsi="Times New Roman" w:eastAsia="仿宋" w:cs="Times New Roman"/>
                <w:kern w:val="0"/>
                <w:sz w:val="24"/>
                <w:szCs w:val="24"/>
                <w:lang w:bidi="ar"/>
              </w:rPr>
              <w:t>执行</w:t>
            </w: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预算完成率</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4</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预算完成率=（上年结转+年初预算+本年追加-年末结余）/（上年结转+年初预算+本年追加）×100%。</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预算完成率≥95%，得4分；</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每降低5%，扣1分，扣完为止。</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eastAsia" w:ascii="Times New Roman" w:hAnsi="Times New Roman" w:eastAsia="仿宋" w:cs="Times New Roman"/>
                <w:kern w:val="0"/>
                <w:sz w:val="24"/>
                <w:szCs w:val="24"/>
                <w:lang w:val="en-US" w:eastAsia="zh-CN" w:bidi="ar"/>
              </w:rPr>
            </w:pPr>
            <w:r>
              <w:rPr>
                <w:rFonts w:hint="eastAsia" w:eastAsia="仿宋" w:cs="Times New Roman"/>
                <w:kern w:val="0"/>
                <w:sz w:val="24"/>
                <w:szCs w:val="24"/>
                <w:lang w:val="en-US" w:eastAsia="zh-CN" w:bidi="ar"/>
              </w:rPr>
              <w:t>4</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960"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预算调整率</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2</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预算调整率=（本年追加预算/年初预算）×100%。</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本年追加预算：部门（单位）在本年度内涉及预算的追加资金总和（因落实国家政策、发生不可抗力、上级部门或本级党委政府临时交办而产生的调整除外）。</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预算调整率≤5%，得2分；</w:t>
            </w:r>
          </w:p>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5%-10%（含），得1.5分；</w:t>
            </w:r>
          </w:p>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10%-15%（含），得1分；</w:t>
            </w:r>
          </w:p>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15%-20%（含），得0.5分；</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＞20%，得0分。</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eastAsia" w:ascii="Times New Roman" w:hAnsi="Times New Roman" w:eastAsia="仿宋" w:cs="Times New Roman"/>
                <w:kern w:val="0"/>
                <w:sz w:val="24"/>
                <w:szCs w:val="24"/>
                <w:lang w:val="en-US" w:eastAsia="zh-CN" w:bidi="ar"/>
              </w:rPr>
            </w:pPr>
            <w:r>
              <w:rPr>
                <w:rFonts w:hint="eastAsia" w:eastAsia="仿宋" w:cs="Times New Roman"/>
                <w:kern w:val="0"/>
                <w:sz w:val="24"/>
                <w:szCs w:val="24"/>
                <w:lang w:val="en-US" w:eastAsia="zh-CN"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720"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新建楼堂馆所面积控制率</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2</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楼堂馆所面积控制率=实际建设面积/批准建设面积×100% 。</w:t>
            </w:r>
            <w:r>
              <w:rPr>
                <w:rFonts w:ascii="Times New Roman" w:hAnsi="Times New Roman" w:eastAsia="仿宋" w:cs="Times New Roman"/>
                <w:kern w:val="0"/>
                <w:sz w:val="24"/>
                <w:szCs w:val="24"/>
                <w:lang w:bidi="ar"/>
              </w:rPr>
              <w:br w:type="textWrapping"/>
            </w:r>
            <w:r>
              <w:rPr>
                <w:rFonts w:ascii="Times New Roman" w:hAnsi="Times New Roman" w:eastAsia="仿宋" w:cs="Times New Roman"/>
                <w:kern w:val="0"/>
                <w:sz w:val="24"/>
                <w:szCs w:val="24"/>
                <w:lang w:bidi="ar"/>
              </w:rPr>
              <w:t>该指标以20××年完工的新建楼堂馆所为评价内容。</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楼堂馆所面积控制率≤100%，得2分；</w:t>
            </w:r>
          </w:p>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每超出5%扣1分，扣完为止。</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没有楼梯馆所项目的部门剔除此项指标。</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eastAsia" w:ascii="Times New Roman" w:hAnsi="Times New Roman" w:eastAsia="仿宋" w:cs="Times New Roman"/>
                <w:kern w:val="0"/>
                <w:sz w:val="24"/>
                <w:szCs w:val="24"/>
                <w:lang w:val="en-US" w:eastAsia="zh-CN" w:bidi="ar"/>
              </w:rPr>
            </w:pPr>
            <w:r>
              <w:rPr>
                <w:rFonts w:hint="eastAsia" w:eastAsia="仿宋" w:cs="Times New Roman"/>
                <w:kern w:val="0"/>
                <w:sz w:val="24"/>
                <w:szCs w:val="24"/>
                <w:lang w:val="en-US" w:eastAsia="zh-CN"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2309"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新建楼堂馆所投资概算控制率</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2</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楼堂馆所投资预算控制率=实际投资金额/批准投资金额×100% 。</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该指标以20</w:t>
            </w:r>
            <w:r>
              <w:rPr>
                <w:rFonts w:hint="eastAsia" w:ascii="Times New Roman" w:hAnsi="Times New Roman" w:eastAsia="仿宋" w:cs="Times New Roman"/>
                <w:kern w:val="0"/>
                <w:sz w:val="24"/>
                <w:szCs w:val="24"/>
                <w:lang w:bidi="ar"/>
              </w:rPr>
              <w:t>19</w:t>
            </w:r>
            <w:r>
              <w:rPr>
                <w:rFonts w:ascii="Times New Roman" w:hAnsi="Times New Roman" w:eastAsia="仿宋" w:cs="Times New Roman"/>
                <w:kern w:val="0"/>
                <w:sz w:val="24"/>
                <w:szCs w:val="24"/>
                <w:lang w:bidi="ar"/>
              </w:rPr>
              <w:t>年完工的新建楼堂馆所为评价内容。</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楼堂馆所面积控制率≤100%，得2分；</w:t>
            </w:r>
          </w:p>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每超出5%扣1分，扣完为止。</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没有楼梯馆所项目的部门剔除此项指标。</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eastAsia" w:ascii="Times New Roman" w:hAnsi="Times New Roman" w:eastAsia="仿宋" w:cs="Times New Roman"/>
                <w:kern w:val="0"/>
                <w:sz w:val="24"/>
                <w:szCs w:val="24"/>
                <w:lang w:val="en-US" w:eastAsia="zh-CN" w:bidi="ar"/>
              </w:rPr>
            </w:pPr>
            <w:r>
              <w:rPr>
                <w:rFonts w:hint="eastAsia" w:eastAsia="仿宋" w:cs="Times New Roman"/>
                <w:kern w:val="0"/>
                <w:sz w:val="24"/>
                <w:szCs w:val="24"/>
                <w:lang w:val="en-US" w:eastAsia="zh-CN"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591"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公用经费控制率</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2</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公用经费控制率=（实际支出公用经费总额/预算安排公用经费总额）×100%。</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公用经费控制率≤100%，得2分；</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每超过5%，扣1分，扣完为止。</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eastAsia" w:ascii="Times New Roman" w:hAnsi="Times New Roman" w:eastAsia="仿宋" w:cs="Times New Roman"/>
                <w:kern w:val="0"/>
                <w:sz w:val="24"/>
                <w:szCs w:val="24"/>
                <w:lang w:val="en-US" w:eastAsia="zh-CN" w:bidi="ar"/>
              </w:rPr>
            </w:pPr>
            <w:r>
              <w:rPr>
                <w:rFonts w:hint="eastAsia" w:eastAsia="仿宋" w:cs="Times New Roman"/>
                <w:kern w:val="0"/>
                <w:sz w:val="24"/>
                <w:szCs w:val="24"/>
                <w:lang w:val="en-US" w:eastAsia="zh-CN"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578"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“三公经费”控制率</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2</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“三公经费”控制率=（“三公经费”实际支出数/“三公经费”预算安排数）×100%。</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“三公经费”控制率≤100%，得2分；</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每超过5%，扣1分，扣完为止。</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eastAsia" w:ascii="Times New Roman" w:hAnsi="Times New Roman" w:eastAsia="仿宋" w:cs="Times New Roman"/>
                <w:kern w:val="0"/>
                <w:sz w:val="24"/>
                <w:szCs w:val="24"/>
                <w:lang w:val="en-US" w:eastAsia="zh-CN" w:bidi="ar"/>
              </w:rPr>
            </w:pPr>
            <w:r>
              <w:rPr>
                <w:rFonts w:hint="eastAsia" w:eastAsia="仿宋" w:cs="Times New Roman"/>
                <w:kern w:val="0"/>
                <w:sz w:val="24"/>
                <w:szCs w:val="24"/>
                <w:lang w:val="en-US" w:eastAsia="zh-CN"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2528"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政府采购执行率</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2</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政府采购执行率=（实际政府采购金额/政府采购预算数）×100%；</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 xml:space="preserve">政府采购预算：采购机关根据事业发展计划和行政任务编制的、并经过规定程序批准的年度政府采购计划。 </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政府采购执行率=100%，得2分；</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每超过（降低）5%，扣1分，扣完为止。</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eastAsia" w:ascii="Times New Roman" w:hAnsi="Times New Roman" w:eastAsia="仿宋" w:cs="Times New Roman"/>
                <w:kern w:val="0"/>
                <w:sz w:val="24"/>
                <w:szCs w:val="24"/>
                <w:lang w:val="en-US" w:eastAsia="zh-CN" w:bidi="ar"/>
              </w:rPr>
            </w:pPr>
            <w:r>
              <w:rPr>
                <w:rFonts w:hint="eastAsia" w:eastAsia="仿宋" w:cs="Times New Roman"/>
                <w:kern w:val="0"/>
                <w:sz w:val="24"/>
                <w:szCs w:val="24"/>
                <w:lang w:val="en-US" w:eastAsia="zh-CN"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310"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预算</w:t>
            </w:r>
            <w:r>
              <w:rPr>
                <w:rFonts w:ascii="Times New Roman" w:hAnsi="Times New Roman" w:eastAsia="仿宋" w:cs="Times New Roman"/>
                <w:kern w:val="0"/>
                <w:sz w:val="24"/>
                <w:szCs w:val="24"/>
                <w:lang w:bidi="ar"/>
              </w:rPr>
              <w:br w:type="textWrapping"/>
            </w:r>
            <w:r>
              <w:rPr>
                <w:rFonts w:ascii="Times New Roman" w:hAnsi="Times New Roman" w:eastAsia="仿宋" w:cs="Times New Roman"/>
                <w:kern w:val="0"/>
                <w:sz w:val="24"/>
                <w:szCs w:val="24"/>
                <w:lang w:bidi="ar"/>
              </w:rPr>
              <w:t>管理</w:t>
            </w: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管理制度健全性</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2</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①是否已制定或具有预算资金管理办法、内部财务管理制度、会计核算制度、本部门厉行节约制度等管理制度；</w:t>
            </w:r>
          </w:p>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②相关管理制度是否合法、合规、完整；</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③相关管理制度是否得到有效执行。</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每发现一类不合规问题，扣1分，扣完为止。</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eastAsia" w:ascii="Times New Roman" w:hAnsi="Times New Roman" w:eastAsia="仿宋" w:cs="Times New Roman"/>
                <w:kern w:val="0"/>
                <w:sz w:val="24"/>
                <w:szCs w:val="24"/>
                <w:lang w:val="en-US" w:eastAsia="zh-CN" w:bidi="ar"/>
              </w:rPr>
            </w:pPr>
            <w:r>
              <w:rPr>
                <w:rFonts w:hint="eastAsia" w:eastAsia="仿宋" w:cs="Times New Roman"/>
                <w:kern w:val="0"/>
                <w:sz w:val="24"/>
                <w:szCs w:val="24"/>
                <w:lang w:val="en-US" w:eastAsia="zh-CN"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3468"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资金使用合规性</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①是否符合国家财经法规和财务管理制度规定以及有关专项资金管理办法的规定；</w:t>
            </w:r>
          </w:p>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②资金的拨付是否有完整的审批程序和手续；</w:t>
            </w:r>
          </w:p>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③项目的重大开支是否经过评估论证；</w:t>
            </w:r>
          </w:p>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④是否符合部门预算批复的用途；</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⑤是否存在截留、挤占、挪用、虚列支出等情况。</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每发现一类不合规问题，扣1分，扣完为止。</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eastAsia" w:eastAsia="仿宋" w:cs="Times New Roman"/>
                <w:kern w:val="0"/>
                <w:sz w:val="24"/>
                <w:szCs w:val="24"/>
                <w:lang w:val="en-US" w:eastAsia="zh-CN" w:bidi="ar"/>
              </w:rPr>
            </w:pPr>
            <w:r>
              <w:rPr>
                <w:rFonts w:hint="eastAsia" w:eastAsia="仿宋" w:cs="Times New Roman"/>
                <w:kern w:val="0"/>
                <w:sz w:val="24"/>
                <w:szCs w:val="24"/>
                <w:lang w:val="en-US" w:eastAsia="zh-CN" w:bidi="ar"/>
              </w:rPr>
              <w:t>5</w:t>
            </w:r>
          </w:p>
          <w:p>
            <w:pPr>
              <w:widowControl/>
              <w:spacing w:line="300" w:lineRule="exact"/>
              <w:ind w:firstLine="240" w:firstLineChars="100"/>
              <w:jc w:val="left"/>
              <w:textAlignment w:val="center"/>
              <w:rPr>
                <w:rFonts w:hint="eastAsia" w:eastAsia="仿宋" w:cs="Times New Roman"/>
                <w:kern w:val="0"/>
                <w:sz w:val="24"/>
                <w:szCs w:val="24"/>
                <w:lang w:val="en-US" w:eastAsia="zh-CN" w:bidi="ar"/>
              </w:rPr>
            </w:pP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2243"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预决算信息公开性</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2</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①是否按规定内容、规定时限公开预决算信息；</w:t>
            </w:r>
          </w:p>
          <w:p>
            <w:pPr>
              <w:widowControl/>
              <w:spacing w:line="300" w:lineRule="exact"/>
              <w:ind w:firstLine="240" w:firstLineChars="100"/>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②基础数据信息和会计信息资料是否真实、完整、准确。预决算信息是指与部门预算、执行、决算、监督、绩效等管理相关的信息。</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①按规定内容、规定时限公开预决算信息，得1分；</w:t>
            </w:r>
          </w:p>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②基础数据信息和会计信息资料真实、完整、准确，得1分。</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每发现一类不合规问题，扣1分，扣完为止。</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eastAsia" w:ascii="Times New Roman" w:hAnsi="Times New Roman" w:eastAsia="仿宋" w:cs="Times New Roman"/>
                <w:kern w:val="0"/>
                <w:sz w:val="24"/>
                <w:szCs w:val="24"/>
                <w:lang w:val="en-US" w:eastAsia="zh-CN" w:bidi="ar"/>
              </w:rPr>
            </w:pPr>
            <w:r>
              <w:rPr>
                <w:rFonts w:hint="eastAsia" w:eastAsia="仿宋" w:cs="Times New Roman"/>
                <w:kern w:val="0"/>
                <w:sz w:val="24"/>
                <w:szCs w:val="24"/>
                <w:lang w:val="en-US" w:eastAsia="zh-CN"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720"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资产</w:t>
            </w:r>
            <w:r>
              <w:rPr>
                <w:rFonts w:ascii="Times New Roman" w:hAnsi="Times New Roman" w:eastAsia="仿宋" w:cs="Times New Roman"/>
                <w:kern w:val="0"/>
                <w:sz w:val="24"/>
                <w:szCs w:val="24"/>
                <w:lang w:bidi="ar"/>
              </w:rPr>
              <w:br w:type="textWrapping"/>
            </w:r>
            <w:r>
              <w:rPr>
                <w:rFonts w:ascii="Times New Roman" w:hAnsi="Times New Roman" w:eastAsia="仿宋" w:cs="Times New Roman"/>
                <w:kern w:val="0"/>
                <w:sz w:val="24"/>
                <w:szCs w:val="24"/>
                <w:lang w:bidi="ar"/>
              </w:rPr>
              <w:t>管理</w:t>
            </w: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管理制度健全性</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1</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是否已制定或具有资产管理制度；相关资金管理制度是否合法、合规、完整；相关资产管理制度是否得到有效执行。</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①已制定或具有资产管理制度，相关资金管理制度合法、合规、完整。得0.5分；</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 xml:space="preserve"> ②相关资产管理制度得到有效执行，得0.5分。</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eastAsia" w:ascii="Times New Roman" w:hAnsi="Times New Roman" w:eastAsia="仿宋" w:cs="Times New Roman"/>
                <w:kern w:val="0"/>
                <w:sz w:val="24"/>
                <w:szCs w:val="24"/>
                <w:lang w:val="en-US" w:eastAsia="zh-CN" w:bidi="ar"/>
              </w:rPr>
            </w:pPr>
            <w:r>
              <w:rPr>
                <w:rFonts w:hint="eastAsia" w:eastAsia="仿宋" w:cs="Times New Roman"/>
                <w:kern w:val="0"/>
                <w:sz w:val="24"/>
                <w:szCs w:val="24"/>
                <w:lang w:val="en-US" w:eastAsia="zh-CN" w:bidi="ar"/>
              </w:rPr>
              <w:t>1</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468"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资产管理安全性</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1</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资产是否保存完整、使用合规、配置合理、处置规范、收入及时足额上缴。</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①资产保存完整、配置合理、处置规范，得0.5分；</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②资产账务管理合规，帐实相符，得0.5分；</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eastAsia" w:ascii="Times New Roman" w:hAnsi="Times New Roman" w:eastAsia="仿宋" w:cs="Times New Roman"/>
                <w:kern w:val="0"/>
                <w:sz w:val="24"/>
                <w:szCs w:val="24"/>
                <w:lang w:val="en-US" w:eastAsia="zh-CN" w:bidi="ar"/>
              </w:rPr>
            </w:pPr>
            <w:r>
              <w:rPr>
                <w:rFonts w:hint="eastAsia" w:eastAsia="仿宋" w:cs="Times New Roman"/>
                <w:kern w:val="0"/>
                <w:sz w:val="24"/>
                <w:szCs w:val="24"/>
                <w:lang w:val="en-US" w:eastAsia="zh-CN" w:bidi="ar"/>
              </w:rPr>
              <w:t>1</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2261"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固定资产利用率</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1</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实际在用固定资产总额与所有固定资产总额的比率，用以反映和考核部门（单位）固定资产使用效率程度。</w:t>
            </w:r>
            <w:r>
              <w:rPr>
                <w:rFonts w:ascii="Times New Roman" w:hAnsi="Times New Roman" w:eastAsia="仿宋" w:cs="Times New Roman"/>
                <w:kern w:val="0"/>
                <w:sz w:val="24"/>
                <w:szCs w:val="24"/>
                <w:lang w:bidi="ar"/>
              </w:rPr>
              <w:br w:type="textWrapping"/>
            </w:r>
            <w:r>
              <w:rPr>
                <w:rFonts w:ascii="Times New Roman" w:hAnsi="Times New Roman" w:eastAsia="仿宋" w:cs="Times New Roman"/>
                <w:kern w:val="0"/>
                <w:sz w:val="24"/>
                <w:szCs w:val="24"/>
                <w:lang w:bidi="ar"/>
              </w:rPr>
              <w:t>固定资产利用率=（实际在用固定资产总额/所有固定资产总额）×100%。</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固定资产利用率=100%，得1分；</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每低于1%，扣0.1分，扣完为止。</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eastAsia" w:ascii="Times New Roman" w:hAnsi="Times New Roman" w:eastAsia="仿宋" w:cs="Times New Roman"/>
                <w:kern w:val="0"/>
                <w:sz w:val="24"/>
                <w:szCs w:val="24"/>
                <w:lang w:val="en-US" w:eastAsia="zh-CN" w:bidi="ar"/>
              </w:rPr>
            </w:pPr>
            <w:r>
              <w:rPr>
                <w:rFonts w:hint="eastAsia" w:eastAsia="仿宋" w:cs="Times New Roman"/>
                <w:kern w:val="0"/>
                <w:sz w:val="24"/>
                <w:szCs w:val="24"/>
                <w:lang w:val="en-US" w:eastAsia="zh-CN" w:bidi="ar"/>
              </w:rPr>
              <w:t>1</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90" w:hRule="atLeast"/>
          <w:jc w:val="center"/>
        </w:trPr>
        <w:tc>
          <w:tcPr>
            <w:tcW w:w="56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产   出</w:t>
            </w:r>
          </w:p>
        </w:tc>
        <w:tc>
          <w:tcPr>
            <w:tcW w:w="5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职责</w:t>
            </w:r>
            <w:r>
              <w:rPr>
                <w:rFonts w:ascii="Times New Roman" w:hAnsi="Times New Roman" w:eastAsia="仿宋" w:cs="Times New Roman"/>
                <w:kern w:val="0"/>
                <w:sz w:val="24"/>
                <w:szCs w:val="24"/>
                <w:lang w:bidi="ar"/>
              </w:rPr>
              <w:br w:type="textWrapping"/>
            </w:r>
            <w:r>
              <w:rPr>
                <w:rFonts w:ascii="Times New Roman" w:hAnsi="Times New Roman" w:eastAsia="仿宋" w:cs="Times New Roman"/>
                <w:kern w:val="0"/>
                <w:sz w:val="24"/>
                <w:szCs w:val="24"/>
                <w:lang w:bidi="ar"/>
              </w:rPr>
              <w:t>履行</w:t>
            </w: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个性化指标</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17</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rPr>
                <w:rFonts w:ascii="Times New Roman" w:hAnsi="Times New Roman" w:eastAsia="仿宋" w:cs="Times New Roman"/>
                <w:sz w:val="24"/>
                <w:szCs w:val="24"/>
              </w:rPr>
            </w:pPr>
            <w:r>
              <w:rPr>
                <w:rFonts w:ascii="Times New Roman" w:hAnsi="Times New Roman" w:eastAsia="仿宋" w:cs="Times New Roman"/>
                <w:kern w:val="0"/>
                <w:sz w:val="24"/>
                <w:szCs w:val="24"/>
                <w:lang w:bidi="ar"/>
              </w:rPr>
              <w:t>从实际完成率、完成及时率、质量达标率等方面设置</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rPr>
                <w:rFonts w:ascii="Times New Roman" w:hAnsi="Times New Roman" w:eastAsia="仿宋" w:cs="Times New Roman"/>
                <w:sz w:val="24"/>
                <w:szCs w:val="24"/>
              </w:rPr>
            </w:pP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rPr>
                <w:rFonts w:hint="eastAsia" w:ascii="Times New Roman" w:hAnsi="Times New Roman" w:eastAsia="仿宋" w:cs="Times New Roman"/>
                <w:sz w:val="24"/>
                <w:szCs w:val="24"/>
                <w:lang w:val="en-US" w:eastAsia="zh-CN"/>
              </w:rPr>
            </w:pPr>
            <w:r>
              <w:rPr>
                <w:rFonts w:hint="eastAsia" w:eastAsia="仿宋" w:cs="Times New Roman"/>
                <w:sz w:val="24"/>
                <w:szCs w:val="24"/>
                <w:lang w:val="en-US" w:eastAsia="zh-CN"/>
              </w:rPr>
              <w:t>15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960"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重点工作办结率</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部门（单位）年度重点工作实际完成数与交办或下达数的比率，用以反映部门（单位）对重点工作的办理落实程度。</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重点工作办结率=（重点工作实际完成数/交办或下达数）×100%。</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重点工作是指党委、政府、人大、相关部门交办或下达的工作任务。</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eastAsia" w:ascii="Times New Roman" w:hAnsi="Times New Roman" w:eastAsia="仿宋" w:cs="Times New Roman"/>
                <w:kern w:val="0"/>
                <w:sz w:val="24"/>
                <w:szCs w:val="24"/>
                <w:lang w:val="en-US" w:eastAsia="zh-CN" w:bidi="ar"/>
              </w:rPr>
            </w:pPr>
            <w:r>
              <w:rPr>
                <w:rFonts w:hint="eastAsia" w:eastAsia="仿宋" w:cs="Times New Roman"/>
                <w:kern w:val="0"/>
                <w:sz w:val="24"/>
                <w:szCs w:val="24"/>
                <w:lang w:val="en-US" w:eastAsia="zh-CN"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817" w:hRule="atLeast"/>
          <w:jc w:val="center"/>
        </w:trPr>
        <w:tc>
          <w:tcPr>
            <w:tcW w:w="56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效   果</w:t>
            </w:r>
          </w:p>
        </w:tc>
        <w:tc>
          <w:tcPr>
            <w:tcW w:w="5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履职</w:t>
            </w:r>
            <w:r>
              <w:rPr>
                <w:rFonts w:ascii="Times New Roman" w:hAnsi="Times New Roman" w:eastAsia="仿宋" w:cs="Times New Roman"/>
                <w:kern w:val="0"/>
                <w:sz w:val="24"/>
                <w:szCs w:val="24"/>
                <w:lang w:bidi="ar"/>
              </w:rPr>
              <w:br w:type="textWrapping"/>
            </w:r>
            <w:r>
              <w:rPr>
                <w:rFonts w:ascii="Times New Roman" w:hAnsi="Times New Roman" w:eastAsia="仿宋" w:cs="Times New Roman"/>
                <w:kern w:val="0"/>
                <w:sz w:val="24"/>
                <w:szCs w:val="24"/>
                <w:lang w:bidi="ar"/>
              </w:rPr>
              <w:t>效益</w:t>
            </w: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经济效益</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部门（单位）履行职责对经济发展所带来的直接或间接影响。</w:t>
            </w:r>
          </w:p>
        </w:tc>
        <w:tc>
          <w:tcPr>
            <w:tcW w:w="323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此三项指标为设置部门整体支出绩效评价指标时必须考虑的共性要素，可根据部门实际并结合部门整体支出绩效目标设立情况有选择的进行设置，并将其细化为相应的个性化指标。</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eastAsia" w:ascii="Times New Roman" w:hAnsi="Times New Roman" w:eastAsia="仿宋" w:cs="Times New Roman"/>
                <w:kern w:val="0"/>
                <w:sz w:val="24"/>
                <w:szCs w:val="24"/>
                <w:lang w:val="en-US" w:eastAsia="zh-CN" w:bidi="ar"/>
              </w:rPr>
            </w:pPr>
            <w:r>
              <w:rPr>
                <w:rFonts w:hint="eastAsia" w:eastAsia="仿宋" w:cs="Times New Roman"/>
                <w:kern w:val="0"/>
                <w:sz w:val="24"/>
                <w:szCs w:val="24"/>
                <w:lang w:val="en-US" w:eastAsia="zh-CN"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743"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社会效益</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部门（单位）履行职责对社会发展所带来的直接或间接影响。</w:t>
            </w:r>
          </w:p>
        </w:tc>
        <w:tc>
          <w:tcPr>
            <w:tcW w:w="323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rPr>
                <w:rFonts w:ascii="Times New Roman" w:hAnsi="Times New Roman" w:eastAsia="仿宋" w:cs="Times New Roman"/>
                <w:sz w:val="24"/>
                <w:szCs w:val="24"/>
              </w:rPr>
            </w:pP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rPr>
                <w:rFonts w:hint="eastAsia" w:ascii="Times New Roman" w:hAnsi="Times New Roman" w:eastAsia="仿宋" w:cs="Times New Roman"/>
                <w:sz w:val="24"/>
                <w:szCs w:val="24"/>
                <w:lang w:val="en-US" w:eastAsia="zh-CN"/>
              </w:rPr>
            </w:pPr>
            <w:r>
              <w:rPr>
                <w:rFonts w:hint="eastAsia" w:eastAsia="仿宋" w:cs="Times New Roman"/>
                <w:sz w:val="24"/>
                <w:szCs w:val="24"/>
                <w:lang w:val="en-US" w:eastAsia="zh-CN"/>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755"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生态效益</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部门（单位）履行职责对生态环境所带来的直接或间接影响。</w:t>
            </w:r>
          </w:p>
        </w:tc>
        <w:tc>
          <w:tcPr>
            <w:tcW w:w="323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rPr>
                <w:rFonts w:ascii="Times New Roman" w:hAnsi="Times New Roman" w:eastAsia="仿宋" w:cs="Times New Roman"/>
                <w:sz w:val="24"/>
                <w:szCs w:val="24"/>
              </w:rPr>
            </w:pP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rPr>
                <w:rFonts w:hint="eastAsia" w:ascii="Times New Roman" w:hAnsi="Times New Roman" w:eastAsia="仿宋" w:cs="Times New Roman"/>
                <w:sz w:val="24"/>
                <w:szCs w:val="24"/>
                <w:lang w:val="en-US" w:eastAsia="zh-CN"/>
              </w:rPr>
            </w:pPr>
            <w:r>
              <w:rPr>
                <w:rFonts w:hint="eastAsia" w:eastAsia="仿宋" w:cs="Times New Roman"/>
                <w:sz w:val="24"/>
                <w:szCs w:val="24"/>
                <w:lang w:val="en-US" w:eastAsia="zh-CN"/>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93"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行政效能</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政府对机关工作实施情况的具体评价，以年度政府考核结果为依据。</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优秀计5分，良好计3分，合格计1分，不合格计0分。</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eastAsia" w:ascii="Times New Roman" w:hAnsi="Times New Roman" w:eastAsia="仿宋" w:cs="Times New Roman"/>
                <w:kern w:val="0"/>
                <w:sz w:val="24"/>
                <w:szCs w:val="24"/>
                <w:lang w:val="en-US" w:eastAsia="zh-CN" w:bidi="ar"/>
              </w:rPr>
            </w:pPr>
            <w:r>
              <w:rPr>
                <w:rFonts w:hint="eastAsia" w:eastAsia="仿宋" w:cs="Times New Roman"/>
                <w:kern w:val="0"/>
                <w:sz w:val="24"/>
                <w:szCs w:val="24"/>
                <w:lang w:val="en-US" w:eastAsia="zh-CN" w:bidi="ar"/>
              </w:rPr>
              <w:t>3</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2005"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社会公众或服务对象满意度</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社会公众或部门（单位）的服务对象对部门履职效果的满意程度。</w:t>
            </w:r>
            <w:r>
              <w:rPr>
                <w:rFonts w:ascii="Times New Roman" w:hAnsi="Times New Roman" w:eastAsia="仿宋" w:cs="Times New Roman"/>
                <w:kern w:val="0"/>
                <w:sz w:val="24"/>
                <w:szCs w:val="24"/>
                <w:lang w:bidi="ar"/>
              </w:rPr>
              <w:br w:type="textWrapping"/>
            </w:r>
            <w:r>
              <w:rPr>
                <w:rFonts w:ascii="Times New Roman" w:hAnsi="Times New Roman" w:eastAsia="仿宋" w:cs="Times New Roman"/>
                <w:kern w:val="0"/>
                <w:sz w:val="24"/>
                <w:szCs w:val="24"/>
                <w:lang w:bidi="ar"/>
              </w:rPr>
              <w:t>社会公众或服务对象是指部门（单位）履行职责而影响到的部门、群体或个人。</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≥90%，得5分；</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每降低1%，扣0.5分，扣完为止。</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hint="eastAsia" w:ascii="Times New Roman" w:hAnsi="Times New Roman" w:eastAsia="仿宋" w:cs="Times New Roman"/>
                <w:kern w:val="0"/>
                <w:sz w:val="24"/>
                <w:szCs w:val="24"/>
                <w:lang w:val="en-US" w:eastAsia="zh-CN" w:bidi="ar"/>
              </w:rPr>
            </w:pPr>
            <w:r>
              <w:rPr>
                <w:rFonts w:hint="eastAsia" w:eastAsia="仿宋" w:cs="Times New Roman"/>
                <w:kern w:val="0"/>
                <w:sz w:val="24"/>
                <w:szCs w:val="24"/>
                <w:lang w:val="en-US" w:eastAsia="zh-CN"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565" w:hRule="atLeast"/>
          <w:jc w:val="center"/>
        </w:trPr>
        <w:tc>
          <w:tcPr>
            <w:tcW w:w="114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合计</w:t>
            </w: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lang w:bidi="ar"/>
              </w:rPr>
              <w:t>100</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rPr>
                <w:rFonts w:ascii="Times New Roman" w:hAnsi="Times New Roman" w:eastAsia="仿宋" w:cs="Times New Roman"/>
                <w:sz w:val="24"/>
                <w:szCs w:val="24"/>
              </w:rPr>
            </w:pP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rPr>
                <w:rFonts w:ascii="Times New Roman" w:hAnsi="Times New Roman" w:eastAsia="仿宋" w:cs="Times New Roman"/>
                <w:sz w:val="24"/>
                <w:szCs w:val="24"/>
              </w:rPr>
            </w:pP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rPr>
                <w:rFonts w:hint="eastAsia" w:ascii="Times New Roman" w:hAnsi="Times New Roman" w:eastAsia="仿宋" w:cs="Times New Roman"/>
                <w:sz w:val="24"/>
                <w:szCs w:val="24"/>
                <w:lang w:val="en-US" w:eastAsia="zh-CN"/>
              </w:rPr>
            </w:pPr>
            <w:r>
              <w:rPr>
                <w:rFonts w:hint="eastAsia" w:eastAsia="仿宋" w:cs="Times New Roman"/>
                <w:sz w:val="24"/>
                <w:szCs w:val="24"/>
                <w:lang w:val="en-US" w:eastAsia="zh-CN"/>
              </w:rPr>
              <w:t>96</w:t>
            </w:r>
          </w:p>
        </w:tc>
      </w:tr>
    </w:tbl>
    <w:p>
      <w:pPr>
        <w:spacing w:line="560" w:lineRule="exact"/>
        <w:jc w:val="center"/>
        <w:rPr>
          <w:rFonts w:ascii="Times New Roman" w:hAnsi="Times New Roman" w:eastAsia="黑体" w:cs="Times New Roman"/>
          <w:kern w:val="0"/>
          <w:sz w:val="32"/>
          <w:szCs w:val="32"/>
        </w:rPr>
      </w:pPr>
      <w:r>
        <w:rPr>
          <w:rFonts w:ascii="Times New Roman" w:hAnsi="Times New Roman" w:eastAsia="黑体" w:cs="Times New Roman"/>
          <w:sz w:val="28"/>
          <w:szCs w:val="28"/>
        </w:rPr>
        <w:br w:type="page"/>
      </w:r>
      <w:r>
        <w:rPr>
          <w:rFonts w:ascii="Times New Roman" w:hAnsi="Times New Roman" w:eastAsia="方正小标宋_GBK" w:cs="Times New Roman"/>
          <w:kern w:val="0"/>
          <w:sz w:val="36"/>
          <w:szCs w:val="36"/>
        </w:rPr>
        <w:t>部门整体支出绩效评价基础数据表</w:t>
      </w:r>
    </w:p>
    <w:p>
      <w:pPr>
        <w:widowControl/>
        <w:tabs>
          <w:tab w:val="left" w:pos="3611"/>
          <w:tab w:val="left" w:pos="4791"/>
          <w:tab w:val="left" w:pos="5951"/>
          <w:tab w:val="left" w:pos="7071"/>
          <w:tab w:val="left" w:pos="8191"/>
          <w:tab w:val="left" w:pos="9311"/>
        </w:tabs>
        <w:ind w:left="91"/>
        <w:jc w:val="left"/>
        <w:rPr>
          <w:rFonts w:ascii="Times New Roman" w:hAnsi="Times New Roman" w:eastAsia="仿宋_GB2312" w:cs="Times New Roman"/>
          <w:kern w:val="0"/>
          <w:sz w:val="24"/>
          <w:szCs w:val="24"/>
        </w:rPr>
      </w:pPr>
      <w:r>
        <w:rPr>
          <w:rFonts w:ascii="Times New Roman" w:hAnsi="Times New Roman" w:eastAsia="仿宋" w:cs="Times New Roman"/>
          <w:kern w:val="0"/>
          <w:sz w:val="24"/>
          <w:szCs w:val="24"/>
        </w:rPr>
        <w:t>填报单位：</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ab/>
      </w:r>
    </w:p>
    <w:tbl>
      <w:tblPr>
        <w:tblStyle w:val="9"/>
        <w:tblW w:w="9119" w:type="dxa"/>
        <w:jc w:val="center"/>
        <w:tblInd w:w="0" w:type="dxa"/>
        <w:tblLayout w:type="fixed"/>
        <w:tblCellMar>
          <w:top w:w="0" w:type="dxa"/>
          <w:left w:w="108" w:type="dxa"/>
          <w:bottom w:w="0" w:type="dxa"/>
          <w:right w:w="108" w:type="dxa"/>
        </w:tblCellMar>
      </w:tblPr>
      <w:tblGrid>
        <w:gridCol w:w="3322"/>
        <w:gridCol w:w="1106"/>
        <w:gridCol w:w="750"/>
        <w:gridCol w:w="934"/>
        <w:gridCol w:w="1050"/>
        <w:gridCol w:w="1009"/>
        <w:gridCol w:w="948"/>
      </w:tblGrid>
      <w:tr>
        <w:tblPrEx>
          <w:tblLayout w:type="fixed"/>
          <w:tblCellMar>
            <w:top w:w="0" w:type="dxa"/>
            <w:left w:w="108" w:type="dxa"/>
            <w:bottom w:w="0" w:type="dxa"/>
            <w:right w:w="108" w:type="dxa"/>
          </w:tblCellMar>
        </w:tblPrEx>
        <w:trPr>
          <w:trHeight w:val="417" w:hRule="atLeast"/>
          <w:jc w:val="center"/>
        </w:trPr>
        <w:tc>
          <w:tcPr>
            <w:tcW w:w="332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财政供养人员情况</w:t>
            </w:r>
          </w:p>
        </w:tc>
        <w:tc>
          <w:tcPr>
            <w:tcW w:w="1856"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编制数</w:t>
            </w:r>
          </w:p>
        </w:tc>
        <w:tc>
          <w:tcPr>
            <w:tcW w:w="1984"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20</w:t>
            </w:r>
            <w:r>
              <w:rPr>
                <w:rFonts w:hint="eastAsia" w:ascii="Times New Roman" w:hAnsi="Times New Roman" w:eastAsia="仿宋" w:cs="Times New Roman"/>
                <w:bCs/>
                <w:kern w:val="0"/>
                <w:sz w:val="24"/>
                <w:szCs w:val="24"/>
              </w:rPr>
              <w:t>20</w:t>
            </w:r>
            <w:r>
              <w:rPr>
                <w:rFonts w:ascii="Times New Roman" w:hAnsi="Times New Roman" w:eastAsia="仿宋" w:cs="Times New Roman"/>
                <w:bCs/>
                <w:kern w:val="0"/>
                <w:sz w:val="24"/>
                <w:szCs w:val="24"/>
              </w:rPr>
              <w:t>年实际</w:t>
            </w:r>
          </w:p>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在职人数</w:t>
            </w:r>
          </w:p>
        </w:tc>
        <w:tc>
          <w:tcPr>
            <w:tcW w:w="1957"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控制率</w:t>
            </w:r>
          </w:p>
        </w:tc>
      </w:tr>
      <w:tr>
        <w:tblPrEx>
          <w:tblLayout w:type="fixed"/>
          <w:tblCellMar>
            <w:top w:w="0" w:type="dxa"/>
            <w:left w:w="108" w:type="dxa"/>
            <w:bottom w:w="0" w:type="dxa"/>
            <w:right w:w="108" w:type="dxa"/>
          </w:tblCellMar>
        </w:tblPrEx>
        <w:trPr>
          <w:trHeight w:val="177" w:hRule="atLeast"/>
          <w:jc w:val="center"/>
        </w:trPr>
        <w:tc>
          <w:tcPr>
            <w:tcW w:w="33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4"/>
                <w:szCs w:val="24"/>
              </w:rPr>
            </w:pPr>
          </w:p>
        </w:tc>
        <w:tc>
          <w:tcPr>
            <w:tcW w:w="1856"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szCs w:val="24"/>
              </w:rPr>
            </w:pPr>
            <w:r>
              <w:rPr>
                <w:rFonts w:hint="eastAsia" w:eastAsia="仿宋" w:cs="Times New Roman"/>
                <w:kern w:val="0"/>
                <w:sz w:val="24"/>
                <w:szCs w:val="24"/>
                <w:lang w:val="en-US" w:eastAsia="zh-CN"/>
              </w:rPr>
              <w:t>57</w:t>
            </w: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szCs w:val="24"/>
              </w:rPr>
            </w:pPr>
            <w:r>
              <w:rPr>
                <w:rFonts w:hint="eastAsia" w:eastAsia="仿宋" w:cs="Times New Roman"/>
                <w:kern w:val="0"/>
                <w:sz w:val="24"/>
                <w:szCs w:val="24"/>
                <w:lang w:val="en-US" w:eastAsia="zh-CN"/>
              </w:rPr>
              <w:t>54</w:t>
            </w: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szCs w:val="24"/>
              </w:rPr>
            </w:pPr>
            <w:r>
              <w:rPr>
                <w:rFonts w:hint="eastAsia" w:eastAsia="仿宋" w:cs="Times New Roman"/>
                <w:kern w:val="0"/>
                <w:sz w:val="24"/>
                <w:szCs w:val="24"/>
                <w:lang w:val="en-US" w:eastAsia="zh-CN"/>
              </w:rPr>
              <w:t>95%</w:t>
            </w:r>
            <w:r>
              <w:rPr>
                <w:rFonts w:ascii="Times New Roman" w:hAnsi="Times New Roman" w:eastAsia="仿宋" w:cs="Times New Roman"/>
                <w:kern w:val="0"/>
                <w:sz w:val="24"/>
                <w:szCs w:val="24"/>
              </w:rPr>
              <w:t>　</w:t>
            </w:r>
          </w:p>
        </w:tc>
      </w:tr>
      <w:tr>
        <w:tblPrEx>
          <w:tblLayout w:type="fixed"/>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经费控制情况</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黑体" w:hAnsi="黑体" w:eastAsia="黑体" w:cs="黑体"/>
                <w:bCs/>
                <w:kern w:val="0"/>
                <w:sz w:val="24"/>
                <w:szCs w:val="24"/>
              </w:rPr>
            </w:pPr>
            <w:r>
              <w:rPr>
                <w:rFonts w:hint="eastAsia" w:ascii="黑体" w:hAnsi="黑体" w:eastAsia="黑体" w:cs="黑体"/>
                <w:bCs/>
                <w:kern w:val="0"/>
                <w:sz w:val="24"/>
                <w:szCs w:val="24"/>
              </w:rPr>
              <w:t>2019年决算数</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黑体" w:hAnsi="黑体" w:eastAsia="黑体" w:cs="黑体"/>
                <w:bCs/>
                <w:kern w:val="0"/>
                <w:sz w:val="24"/>
                <w:szCs w:val="24"/>
              </w:rPr>
            </w:pPr>
            <w:r>
              <w:rPr>
                <w:rFonts w:hint="eastAsia" w:ascii="黑体" w:hAnsi="黑体" w:eastAsia="黑体" w:cs="黑体"/>
                <w:bCs/>
                <w:kern w:val="0"/>
                <w:sz w:val="24"/>
                <w:szCs w:val="24"/>
              </w:rPr>
              <w:t>2020年预算数</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黑体" w:hAnsi="黑体" w:eastAsia="黑体" w:cs="黑体"/>
                <w:bCs/>
                <w:kern w:val="0"/>
                <w:sz w:val="24"/>
                <w:szCs w:val="24"/>
              </w:rPr>
            </w:pPr>
            <w:r>
              <w:rPr>
                <w:rFonts w:hint="eastAsia" w:ascii="黑体" w:hAnsi="黑体" w:eastAsia="黑体" w:cs="黑体"/>
                <w:bCs/>
                <w:kern w:val="0"/>
                <w:sz w:val="24"/>
                <w:szCs w:val="24"/>
              </w:rPr>
              <w:t>2020年决算数</w:t>
            </w:r>
          </w:p>
        </w:tc>
      </w:tr>
      <w:tr>
        <w:tblPrEx>
          <w:tblLayout w:type="fixed"/>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三公经费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Layout w:type="fixed"/>
          <w:tblCellMar>
            <w:top w:w="0" w:type="dxa"/>
            <w:left w:w="108" w:type="dxa"/>
            <w:bottom w:w="0" w:type="dxa"/>
            <w:right w:w="108" w:type="dxa"/>
          </w:tblCellMar>
        </w:tblPrEx>
        <w:trPr>
          <w:trHeight w:val="39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w:t>
            </w:r>
            <w:r>
              <w:rPr>
                <w:rFonts w:hint="eastAsia" w:ascii="Times New Roman" w:hAnsi="Times New Roman" w:eastAsia="仿宋" w:cs="Times New Roman"/>
                <w:kern w:val="0"/>
                <w:sz w:val="24"/>
                <w:szCs w:val="24"/>
              </w:rPr>
              <w:t>1.</w:t>
            </w:r>
            <w:r>
              <w:rPr>
                <w:rFonts w:ascii="Times New Roman" w:hAnsi="Times New Roman" w:eastAsia="仿宋" w:cs="Times New Roman"/>
                <w:kern w:val="0"/>
                <w:sz w:val="24"/>
                <w:szCs w:val="24"/>
              </w:rPr>
              <w:t>公务用车购置和维护经费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hint="eastAsia" w:eastAsia="仿宋" w:cs="Times New Roman"/>
                <w:kern w:val="0"/>
                <w:sz w:val="24"/>
                <w:szCs w:val="24"/>
                <w:lang w:val="en-US" w:eastAsia="zh-CN"/>
              </w:rPr>
              <w:t>4.99</w:t>
            </w: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hint="eastAsia" w:eastAsia="仿宋" w:cs="Times New Roman"/>
                <w:kern w:val="0"/>
                <w:sz w:val="24"/>
                <w:szCs w:val="24"/>
                <w:lang w:val="en-US" w:eastAsia="zh-CN"/>
              </w:rPr>
              <w:t>5.00</w:t>
            </w: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hint="eastAsia" w:eastAsia="仿宋" w:cs="Times New Roman"/>
                <w:kern w:val="0"/>
                <w:sz w:val="24"/>
                <w:szCs w:val="24"/>
                <w:lang w:val="en-US" w:eastAsia="zh-CN"/>
              </w:rPr>
              <w:t>4.97</w:t>
            </w:r>
            <w:r>
              <w:rPr>
                <w:rFonts w:ascii="Times New Roman" w:hAnsi="Times New Roman" w:eastAsia="仿宋" w:cs="Times New Roman"/>
                <w:kern w:val="0"/>
                <w:sz w:val="24"/>
                <w:szCs w:val="24"/>
              </w:rPr>
              <w:t>　</w:t>
            </w:r>
          </w:p>
        </w:tc>
      </w:tr>
      <w:tr>
        <w:tblPrEx>
          <w:tblLayout w:type="fixed"/>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其中：公车购置</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hint="eastAsia" w:eastAsia="仿宋" w:cs="Times New Roman"/>
                <w:kern w:val="0"/>
                <w:sz w:val="24"/>
                <w:szCs w:val="24"/>
                <w:lang w:val="en-US" w:eastAsia="zh-CN"/>
              </w:rPr>
              <w:t>0</w:t>
            </w: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Layout w:type="fixed"/>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公车运行维护</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hint="eastAsia" w:eastAsia="仿宋" w:cs="Times New Roman"/>
                <w:kern w:val="0"/>
                <w:sz w:val="24"/>
                <w:szCs w:val="24"/>
                <w:lang w:val="en-US" w:eastAsia="zh-CN"/>
              </w:rPr>
              <w:t>4.99</w:t>
            </w: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hint="eastAsia" w:eastAsia="仿宋" w:cs="Times New Roman"/>
                <w:kern w:val="0"/>
                <w:sz w:val="24"/>
                <w:szCs w:val="24"/>
                <w:lang w:val="en-US" w:eastAsia="zh-CN"/>
              </w:rPr>
              <w:t>5.00</w:t>
            </w: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hint="eastAsia" w:eastAsia="仿宋" w:cs="Times New Roman"/>
                <w:kern w:val="0"/>
                <w:sz w:val="24"/>
                <w:szCs w:val="24"/>
                <w:lang w:val="en-US" w:eastAsia="zh-CN"/>
              </w:rPr>
              <w:t>4.97</w:t>
            </w:r>
            <w:r>
              <w:rPr>
                <w:rFonts w:ascii="Times New Roman" w:hAnsi="Times New Roman" w:eastAsia="仿宋" w:cs="Times New Roman"/>
                <w:kern w:val="0"/>
                <w:sz w:val="24"/>
                <w:szCs w:val="24"/>
              </w:rPr>
              <w:t>　</w:t>
            </w:r>
          </w:p>
        </w:tc>
      </w:tr>
      <w:tr>
        <w:tblPrEx>
          <w:tblLayout w:type="fixed"/>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2</w:t>
            </w:r>
            <w:r>
              <w:rPr>
                <w:rFonts w:hint="eastAsia" w:ascii="Times New Roman" w:hAnsi="Times New Roman" w:eastAsia="仿宋" w:cs="Times New Roman"/>
                <w:kern w:val="0"/>
                <w:sz w:val="24"/>
                <w:szCs w:val="24"/>
              </w:rPr>
              <w:t>.</w:t>
            </w:r>
            <w:r>
              <w:rPr>
                <w:rFonts w:ascii="Times New Roman" w:hAnsi="Times New Roman" w:eastAsia="仿宋" w:cs="Times New Roman"/>
                <w:kern w:val="0"/>
                <w:sz w:val="24"/>
                <w:szCs w:val="24"/>
              </w:rPr>
              <w:t>出国经费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r>
              <w:rPr>
                <w:rFonts w:hint="eastAsia" w:eastAsia="仿宋" w:cs="Times New Roman"/>
                <w:kern w:val="0"/>
                <w:sz w:val="24"/>
                <w:szCs w:val="24"/>
                <w:lang w:val="en-US" w:eastAsia="zh-CN"/>
              </w:rPr>
              <w:t>0</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Layout w:type="fixed"/>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3</w:t>
            </w:r>
            <w:r>
              <w:rPr>
                <w:rFonts w:hint="eastAsia" w:ascii="Times New Roman" w:hAnsi="Times New Roman" w:eastAsia="仿宋" w:cs="Times New Roman"/>
                <w:kern w:val="0"/>
                <w:sz w:val="24"/>
                <w:szCs w:val="24"/>
              </w:rPr>
              <w:t>.</w:t>
            </w:r>
            <w:r>
              <w:rPr>
                <w:rFonts w:ascii="Times New Roman" w:hAnsi="Times New Roman" w:eastAsia="仿宋" w:cs="Times New Roman"/>
                <w:kern w:val="0"/>
                <w:sz w:val="24"/>
                <w:szCs w:val="24"/>
              </w:rPr>
              <w:t>公务接待</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hint="eastAsia" w:eastAsia="仿宋" w:cs="Times New Roman"/>
                <w:kern w:val="0"/>
                <w:sz w:val="24"/>
                <w:szCs w:val="24"/>
                <w:lang w:val="en-US" w:eastAsia="zh-CN"/>
              </w:rPr>
              <w:t>14.98</w:t>
            </w: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hint="eastAsia" w:eastAsia="仿宋" w:cs="Times New Roman"/>
                <w:kern w:val="0"/>
                <w:sz w:val="24"/>
                <w:szCs w:val="24"/>
                <w:lang w:val="en-US" w:eastAsia="zh-CN"/>
              </w:rPr>
              <w:t>15</w:t>
            </w: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hint="eastAsia" w:eastAsia="仿宋" w:cs="Times New Roman"/>
                <w:kern w:val="0"/>
                <w:sz w:val="24"/>
                <w:szCs w:val="24"/>
                <w:lang w:val="en-US" w:eastAsia="zh-CN"/>
              </w:rPr>
              <w:t>14.99</w:t>
            </w:r>
            <w:r>
              <w:rPr>
                <w:rFonts w:ascii="Times New Roman" w:hAnsi="Times New Roman" w:eastAsia="仿宋" w:cs="Times New Roman"/>
                <w:kern w:val="0"/>
                <w:sz w:val="24"/>
                <w:szCs w:val="24"/>
              </w:rPr>
              <w:t>　</w:t>
            </w:r>
          </w:p>
        </w:tc>
      </w:tr>
      <w:tr>
        <w:tblPrEx>
          <w:tblLayout w:type="fixed"/>
          <w:tblCellMar>
            <w:top w:w="0" w:type="dxa"/>
            <w:left w:w="108" w:type="dxa"/>
            <w:bottom w:w="0" w:type="dxa"/>
            <w:right w:w="108" w:type="dxa"/>
          </w:tblCellMar>
        </w:tblPrEx>
        <w:trPr>
          <w:trHeight w:val="39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项目支出</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Layout w:type="fixed"/>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1</w:t>
            </w:r>
            <w:r>
              <w:rPr>
                <w:rFonts w:hint="eastAsia" w:ascii="Times New Roman" w:hAnsi="Times New Roman" w:eastAsia="仿宋" w:cs="Times New Roman"/>
                <w:kern w:val="0"/>
                <w:sz w:val="24"/>
                <w:szCs w:val="24"/>
              </w:rPr>
              <w:t>.</w:t>
            </w:r>
            <w:r>
              <w:rPr>
                <w:rFonts w:ascii="Times New Roman" w:hAnsi="Times New Roman" w:eastAsia="仿宋" w:cs="Times New Roman"/>
                <w:kern w:val="0"/>
                <w:sz w:val="24"/>
                <w:szCs w:val="24"/>
              </w:rPr>
              <w:t>业务工作专项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hint="eastAsia" w:eastAsia="仿宋" w:cs="Times New Roman"/>
                <w:kern w:val="0"/>
                <w:sz w:val="24"/>
                <w:szCs w:val="24"/>
                <w:lang w:val="en-US" w:eastAsia="zh-CN"/>
              </w:rPr>
              <w:t>126</w:t>
            </w: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hint="eastAsia" w:eastAsia="仿宋" w:cs="Times New Roman"/>
                <w:kern w:val="0"/>
                <w:sz w:val="24"/>
                <w:szCs w:val="24"/>
                <w:lang w:val="en-US" w:eastAsia="zh-CN"/>
              </w:rPr>
              <w:t>126</w:t>
            </w: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hint="eastAsia" w:eastAsia="仿宋" w:cs="Times New Roman"/>
                <w:kern w:val="0"/>
                <w:sz w:val="24"/>
                <w:szCs w:val="24"/>
                <w:lang w:val="en-US" w:eastAsia="zh-CN"/>
              </w:rPr>
              <w:t>126</w:t>
            </w:r>
            <w:r>
              <w:rPr>
                <w:rFonts w:ascii="Times New Roman" w:hAnsi="Times New Roman" w:eastAsia="仿宋" w:cs="Times New Roman"/>
                <w:kern w:val="0"/>
                <w:sz w:val="24"/>
                <w:szCs w:val="24"/>
              </w:rPr>
              <w:t>　</w:t>
            </w:r>
          </w:p>
        </w:tc>
      </w:tr>
      <w:tr>
        <w:tblPrEx>
          <w:tblLayout w:type="fixed"/>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2</w:t>
            </w:r>
            <w:r>
              <w:rPr>
                <w:rFonts w:hint="eastAsia" w:ascii="Times New Roman" w:hAnsi="Times New Roman" w:eastAsia="仿宋" w:cs="Times New Roman"/>
                <w:kern w:val="0"/>
                <w:sz w:val="24"/>
                <w:szCs w:val="24"/>
              </w:rPr>
              <w:t>.</w:t>
            </w:r>
            <w:r>
              <w:rPr>
                <w:rFonts w:ascii="Times New Roman" w:hAnsi="Times New Roman" w:eastAsia="仿宋" w:cs="Times New Roman"/>
                <w:kern w:val="0"/>
                <w:sz w:val="24"/>
                <w:szCs w:val="24"/>
              </w:rPr>
              <w:t>运行维护专项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Layout w:type="fixed"/>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Layout w:type="fixed"/>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公用经费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Layout w:type="fixed"/>
          <w:tblCellMar>
            <w:top w:w="0" w:type="dxa"/>
            <w:left w:w="108" w:type="dxa"/>
            <w:bottom w:w="0" w:type="dxa"/>
            <w:right w:w="108" w:type="dxa"/>
          </w:tblCellMar>
        </w:tblPrEx>
        <w:trPr>
          <w:trHeight w:val="39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w:t>
            </w:r>
            <w:r>
              <w:rPr>
                <w:rFonts w:hint="eastAsia" w:ascii="Times New Roman" w:hAnsi="Times New Roman" w:eastAsia="仿宋" w:cs="Times New Roman"/>
                <w:kern w:val="0"/>
                <w:sz w:val="24"/>
                <w:szCs w:val="24"/>
              </w:rPr>
              <w:t>1.</w:t>
            </w:r>
            <w:r>
              <w:rPr>
                <w:rFonts w:ascii="Times New Roman" w:hAnsi="Times New Roman" w:eastAsia="仿宋" w:cs="Times New Roman"/>
                <w:kern w:val="0"/>
                <w:sz w:val="24"/>
                <w:szCs w:val="24"/>
              </w:rPr>
              <w:t>办公经费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hint="eastAsia" w:eastAsia="仿宋" w:cs="Times New Roman"/>
                <w:kern w:val="0"/>
                <w:sz w:val="24"/>
                <w:szCs w:val="24"/>
                <w:lang w:val="en-US" w:eastAsia="zh-CN"/>
              </w:rPr>
              <w:t>1.67</w:t>
            </w: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hint="eastAsia" w:eastAsia="仿宋" w:cs="Times New Roman"/>
                <w:kern w:val="0"/>
                <w:sz w:val="24"/>
                <w:szCs w:val="24"/>
                <w:lang w:val="en-US" w:eastAsia="zh-CN"/>
              </w:rPr>
              <w:t>2.00</w:t>
            </w: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hint="eastAsia" w:eastAsia="仿宋" w:cs="Times New Roman"/>
                <w:kern w:val="0"/>
                <w:sz w:val="24"/>
                <w:szCs w:val="24"/>
                <w:lang w:val="en-US" w:eastAsia="zh-CN"/>
              </w:rPr>
              <w:t>1.87</w:t>
            </w:r>
            <w:r>
              <w:rPr>
                <w:rFonts w:ascii="Times New Roman" w:hAnsi="Times New Roman" w:eastAsia="仿宋" w:cs="Times New Roman"/>
                <w:kern w:val="0"/>
                <w:sz w:val="24"/>
                <w:szCs w:val="24"/>
              </w:rPr>
              <w:t>　</w:t>
            </w:r>
          </w:p>
        </w:tc>
      </w:tr>
      <w:tr>
        <w:tblPrEx>
          <w:tblLayout w:type="fixed"/>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w:t>
            </w:r>
            <w:r>
              <w:rPr>
                <w:rFonts w:hint="eastAsia" w:ascii="Times New Roman" w:hAnsi="Times New Roman" w:eastAsia="仿宋" w:cs="Times New Roman"/>
                <w:kern w:val="0"/>
                <w:sz w:val="24"/>
                <w:szCs w:val="24"/>
              </w:rPr>
              <w:t>2.</w:t>
            </w:r>
            <w:r>
              <w:rPr>
                <w:rFonts w:ascii="Times New Roman" w:hAnsi="Times New Roman" w:eastAsia="仿宋" w:cs="Times New Roman"/>
                <w:kern w:val="0"/>
                <w:sz w:val="24"/>
                <w:szCs w:val="24"/>
              </w:rPr>
              <w:t>水电费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hint="eastAsia" w:eastAsia="仿宋" w:cs="Times New Roman"/>
                <w:kern w:val="0"/>
                <w:sz w:val="24"/>
                <w:szCs w:val="24"/>
                <w:lang w:val="en-US" w:eastAsia="zh-CN"/>
              </w:rPr>
              <w:t>12.72</w:t>
            </w: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hint="eastAsia" w:eastAsia="仿宋" w:cs="Times New Roman"/>
                <w:kern w:val="0"/>
                <w:sz w:val="24"/>
                <w:szCs w:val="24"/>
                <w:lang w:val="en-US" w:eastAsia="zh-CN"/>
              </w:rPr>
              <w:t>13.00</w:t>
            </w: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hint="eastAsia" w:eastAsia="仿宋" w:cs="Times New Roman"/>
                <w:kern w:val="0"/>
                <w:sz w:val="24"/>
                <w:szCs w:val="24"/>
                <w:lang w:val="en-US" w:eastAsia="zh-CN"/>
              </w:rPr>
              <w:t>12.86</w:t>
            </w:r>
            <w:r>
              <w:rPr>
                <w:rFonts w:ascii="Times New Roman" w:hAnsi="Times New Roman" w:eastAsia="仿宋" w:cs="Times New Roman"/>
                <w:kern w:val="0"/>
                <w:sz w:val="24"/>
                <w:szCs w:val="24"/>
              </w:rPr>
              <w:t>　</w:t>
            </w:r>
          </w:p>
        </w:tc>
      </w:tr>
      <w:tr>
        <w:tblPrEx>
          <w:tblLayout w:type="fixed"/>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 xml:space="preserve">    3.</w:t>
            </w:r>
            <w:r>
              <w:rPr>
                <w:rFonts w:ascii="Times New Roman" w:hAnsi="Times New Roman" w:eastAsia="仿宋" w:cs="Times New Roman"/>
                <w:kern w:val="0"/>
                <w:sz w:val="24"/>
                <w:szCs w:val="24"/>
              </w:rPr>
              <w:t>差旅费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 w:cs="Times New Roman"/>
                <w:kern w:val="0"/>
                <w:sz w:val="24"/>
                <w:szCs w:val="24"/>
                <w:lang w:val="en-US" w:eastAsia="zh-CN"/>
              </w:rPr>
            </w:pPr>
            <w:r>
              <w:rPr>
                <w:rFonts w:hint="eastAsia" w:eastAsia="仿宋" w:cs="Times New Roman"/>
                <w:kern w:val="0"/>
                <w:sz w:val="24"/>
                <w:szCs w:val="24"/>
                <w:lang w:val="en-US" w:eastAsia="zh-CN"/>
              </w:rPr>
              <w:t>1.08</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 w:cs="Times New Roman"/>
                <w:kern w:val="0"/>
                <w:sz w:val="24"/>
                <w:szCs w:val="24"/>
                <w:lang w:val="en-US" w:eastAsia="zh-CN"/>
              </w:rPr>
            </w:pPr>
            <w:r>
              <w:rPr>
                <w:rFonts w:hint="eastAsia" w:eastAsia="仿宋" w:cs="Times New Roman"/>
                <w:kern w:val="0"/>
                <w:sz w:val="24"/>
                <w:szCs w:val="24"/>
                <w:lang w:val="en-US" w:eastAsia="zh-CN"/>
              </w:rPr>
              <w:t>2.00</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 w:cs="Times New Roman"/>
                <w:kern w:val="0"/>
                <w:sz w:val="24"/>
                <w:szCs w:val="24"/>
                <w:lang w:val="en-US" w:eastAsia="zh-CN"/>
              </w:rPr>
            </w:pPr>
            <w:r>
              <w:rPr>
                <w:rFonts w:hint="eastAsia" w:eastAsia="仿宋" w:cs="Times New Roman"/>
                <w:kern w:val="0"/>
                <w:sz w:val="24"/>
                <w:szCs w:val="24"/>
                <w:lang w:val="en-US" w:eastAsia="zh-CN"/>
              </w:rPr>
              <w:t>1.86</w:t>
            </w:r>
          </w:p>
        </w:tc>
      </w:tr>
      <w:tr>
        <w:tblPrEx>
          <w:tblLayout w:type="fixed"/>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w:t>
            </w:r>
            <w:r>
              <w:rPr>
                <w:rFonts w:hint="eastAsia" w:ascii="Times New Roman" w:hAnsi="Times New Roman" w:eastAsia="仿宋" w:cs="Times New Roman"/>
                <w:kern w:val="0"/>
                <w:sz w:val="24"/>
                <w:szCs w:val="24"/>
              </w:rPr>
              <w:t>4.</w:t>
            </w:r>
            <w:r>
              <w:rPr>
                <w:rFonts w:ascii="Times New Roman" w:hAnsi="Times New Roman" w:eastAsia="仿宋" w:cs="Times New Roman"/>
                <w:kern w:val="0"/>
                <w:sz w:val="24"/>
                <w:szCs w:val="24"/>
              </w:rPr>
              <w:t>会议费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hint="eastAsia" w:eastAsia="仿宋" w:cs="Times New Roman"/>
                <w:kern w:val="0"/>
                <w:sz w:val="24"/>
                <w:szCs w:val="24"/>
                <w:lang w:val="en-US" w:eastAsia="zh-CN"/>
              </w:rPr>
              <w:t>1.50</w:t>
            </w: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hint="eastAsia" w:eastAsia="仿宋" w:cs="Times New Roman"/>
                <w:kern w:val="0"/>
                <w:sz w:val="24"/>
                <w:szCs w:val="24"/>
                <w:lang w:val="en-US" w:eastAsia="zh-CN"/>
              </w:rPr>
              <w:t>1.50</w:t>
            </w: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hint="eastAsia" w:eastAsia="仿宋" w:cs="Times New Roman"/>
                <w:kern w:val="0"/>
                <w:sz w:val="24"/>
                <w:szCs w:val="24"/>
                <w:lang w:val="en-US" w:eastAsia="zh-CN"/>
              </w:rPr>
              <w:t>1.50</w:t>
            </w:r>
            <w:bookmarkStart w:id="0" w:name="_GoBack"/>
            <w:bookmarkEnd w:id="0"/>
            <w:r>
              <w:rPr>
                <w:rFonts w:ascii="Times New Roman" w:hAnsi="Times New Roman" w:eastAsia="仿宋" w:cs="Times New Roman"/>
                <w:kern w:val="0"/>
                <w:sz w:val="24"/>
                <w:szCs w:val="24"/>
              </w:rPr>
              <w:t>　</w:t>
            </w:r>
          </w:p>
        </w:tc>
      </w:tr>
      <w:tr>
        <w:tblPrEx>
          <w:tblLayout w:type="fixed"/>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 xml:space="preserve">    5.</w:t>
            </w:r>
            <w:r>
              <w:rPr>
                <w:rFonts w:ascii="Times New Roman" w:hAnsi="Times New Roman" w:eastAsia="仿宋" w:cs="Times New Roman"/>
                <w:kern w:val="0"/>
                <w:sz w:val="24"/>
                <w:szCs w:val="24"/>
              </w:rPr>
              <w:t>培训费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 w:cs="Times New Roman"/>
                <w:kern w:val="0"/>
                <w:sz w:val="24"/>
                <w:szCs w:val="24"/>
                <w:lang w:val="en-US" w:eastAsia="zh-CN"/>
              </w:rPr>
            </w:pPr>
            <w:r>
              <w:rPr>
                <w:rFonts w:hint="eastAsia" w:eastAsia="仿宋" w:cs="Times New Roman"/>
                <w:kern w:val="0"/>
                <w:sz w:val="24"/>
                <w:szCs w:val="24"/>
                <w:lang w:val="en-US" w:eastAsia="zh-CN"/>
              </w:rPr>
              <w:t>2.95</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 w:cs="Times New Roman"/>
                <w:kern w:val="0"/>
                <w:sz w:val="24"/>
                <w:szCs w:val="24"/>
                <w:lang w:val="en-US" w:eastAsia="zh-CN"/>
              </w:rPr>
            </w:pPr>
            <w:r>
              <w:rPr>
                <w:rFonts w:hint="eastAsia" w:eastAsia="仿宋" w:cs="Times New Roman"/>
                <w:kern w:val="0"/>
                <w:sz w:val="24"/>
                <w:szCs w:val="24"/>
                <w:lang w:val="en-US" w:eastAsia="zh-CN"/>
              </w:rPr>
              <w:t>3.00</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 w:cs="Times New Roman"/>
                <w:kern w:val="0"/>
                <w:sz w:val="24"/>
                <w:szCs w:val="24"/>
                <w:lang w:val="en-US" w:eastAsia="zh-CN"/>
              </w:rPr>
            </w:pPr>
            <w:r>
              <w:rPr>
                <w:rFonts w:hint="eastAsia" w:eastAsia="仿宋" w:cs="Times New Roman"/>
                <w:kern w:val="0"/>
                <w:sz w:val="24"/>
                <w:szCs w:val="24"/>
                <w:lang w:val="en-US" w:eastAsia="zh-CN"/>
              </w:rPr>
              <w:t>2.95</w:t>
            </w:r>
          </w:p>
        </w:tc>
      </w:tr>
      <w:tr>
        <w:tblPrEx>
          <w:tblLayout w:type="fixed"/>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p>
        </w:tc>
      </w:tr>
      <w:tr>
        <w:tblPrEx>
          <w:tblLayout w:type="fixed"/>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政府采购金额</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p>
        </w:tc>
      </w:tr>
      <w:tr>
        <w:tblPrEx>
          <w:tblLayout w:type="fixed"/>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 xml:space="preserve">部门整体支出预算调整 </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Layout w:type="fixed"/>
          <w:tblCellMar>
            <w:top w:w="0" w:type="dxa"/>
            <w:left w:w="108" w:type="dxa"/>
            <w:bottom w:w="0" w:type="dxa"/>
            <w:right w:w="108" w:type="dxa"/>
          </w:tblCellMar>
        </w:tblPrEx>
        <w:trPr>
          <w:trHeight w:val="1154" w:hRule="atLeast"/>
          <w:jc w:val="center"/>
        </w:trPr>
        <w:tc>
          <w:tcPr>
            <w:tcW w:w="3322"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楼堂馆所控制情况</w:t>
            </w:r>
            <w:r>
              <w:rPr>
                <w:rFonts w:ascii="Times New Roman" w:hAnsi="Times New Roman" w:eastAsia="仿宋" w:cs="Times New Roman"/>
                <w:b/>
                <w:bCs/>
                <w:kern w:val="0"/>
                <w:sz w:val="24"/>
                <w:szCs w:val="24"/>
              </w:rPr>
              <w:br w:type="textWrapping"/>
            </w:r>
            <w:r>
              <w:rPr>
                <w:rFonts w:ascii="Times New Roman" w:hAnsi="Times New Roman" w:eastAsia="仿宋" w:cs="Times New Roman"/>
                <w:b/>
                <w:bCs/>
                <w:kern w:val="0"/>
                <w:sz w:val="24"/>
                <w:szCs w:val="24"/>
              </w:rPr>
              <w:t>（20</w:t>
            </w:r>
            <w:r>
              <w:rPr>
                <w:rFonts w:hint="eastAsia" w:ascii="Times New Roman" w:hAnsi="Times New Roman" w:eastAsia="仿宋" w:cs="Times New Roman"/>
                <w:b/>
                <w:bCs/>
                <w:kern w:val="0"/>
                <w:sz w:val="24"/>
                <w:szCs w:val="24"/>
              </w:rPr>
              <w:t>20</w:t>
            </w:r>
            <w:r>
              <w:rPr>
                <w:rFonts w:ascii="Times New Roman" w:hAnsi="Times New Roman" w:eastAsia="仿宋" w:cs="Times New Roman"/>
                <w:b/>
                <w:bCs/>
                <w:kern w:val="0"/>
                <w:sz w:val="24"/>
                <w:szCs w:val="24"/>
              </w:rPr>
              <w:t>年完工项目）</w:t>
            </w:r>
          </w:p>
        </w:tc>
        <w:tc>
          <w:tcPr>
            <w:tcW w:w="1106"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批复</w:t>
            </w:r>
          </w:p>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规模</w:t>
            </w:r>
            <w:r>
              <w:rPr>
                <w:rFonts w:ascii="Times New Roman" w:hAnsi="Times New Roman" w:eastAsia="仿宋" w:cs="Times New Roman"/>
                <w:bCs/>
                <w:kern w:val="0"/>
                <w:sz w:val="24"/>
                <w:szCs w:val="24"/>
              </w:rPr>
              <w:br w:type="textWrapping"/>
            </w:r>
            <w:r>
              <w:rPr>
                <w:rFonts w:hint="eastAsia" w:ascii="Times New Roman" w:hAnsi="Times New Roman" w:eastAsia="仿宋" w:cs="Times New Roman"/>
                <w:bCs/>
                <w:kern w:val="0"/>
                <w:sz w:val="24"/>
                <w:szCs w:val="24"/>
              </w:rPr>
              <w:t>(</w:t>
            </w:r>
            <w:r>
              <w:rPr>
                <w:rFonts w:ascii="Times New Roman" w:hAnsi="Times New Roman" w:eastAsia="仿宋" w:cs="Times New Roman"/>
                <w:bCs/>
                <w:kern w:val="0"/>
                <w:sz w:val="24"/>
                <w:szCs w:val="24"/>
              </w:rPr>
              <w:t>㎡</w:t>
            </w:r>
            <w:r>
              <w:rPr>
                <w:rFonts w:hint="eastAsia" w:ascii="Times New Roman" w:hAnsi="Times New Roman" w:eastAsia="仿宋" w:cs="Times New Roman"/>
                <w:bCs/>
                <w:kern w:val="0"/>
                <w:sz w:val="24"/>
                <w:szCs w:val="24"/>
              </w:rPr>
              <w:t>)</w:t>
            </w:r>
          </w:p>
        </w:tc>
        <w:tc>
          <w:tcPr>
            <w:tcW w:w="750"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 w:cs="Times New Roman"/>
                <w:bCs/>
                <w:kern w:val="0"/>
                <w:sz w:val="24"/>
                <w:szCs w:val="24"/>
              </w:rPr>
            </w:pPr>
            <w:r>
              <w:rPr>
                <w:rFonts w:ascii="Times New Roman" w:hAnsi="Times New Roman" w:eastAsia="仿宋" w:cs="Times New Roman"/>
                <w:bCs/>
                <w:kern w:val="0"/>
                <w:sz w:val="24"/>
                <w:szCs w:val="24"/>
              </w:rPr>
              <w:t>实际规模</w:t>
            </w:r>
            <w:r>
              <w:rPr>
                <w:rFonts w:hint="eastAsia" w:ascii="Times New Roman" w:hAnsi="Times New Roman" w:eastAsia="仿宋" w:cs="Times New Roman"/>
                <w:bCs/>
                <w:kern w:val="0"/>
                <w:sz w:val="24"/>
                <w:szCs w:val="24"/>
              </w:rPr>
              <w:t>(</w:t>
            </w:r>
            <w:r>
              <w:rPr>
                <w:rFonts w:ascii="Times New Roman" w:hAnsi="Times New Roman" w:eastAsia="仿宋" w:cs="Times New Roman"/>
                <w:bCs/>
                <w:kern w:val="0"/>
                <w:sz w:val="24"/>
                <w:szCs w:val="24"/>
              </w:rPr>
              <w:t>㎡</w:t>
            </w:r>
            <w:r>
              <w:rPr>
                <w:rFonts w:hint="eastAsia" w:ascii="Times New Roman" w:hAnsi="Times New Roman" w:eastAsia="仿宋" w:cs="Times New Roman"/>
                <w:bCs/>
                <w:kern w:val="0"/>
                <w:sz w:val="24"/>
                <w:szCs w:val="24"/>
              </w:rPr>
              <w:t>)</w:t>
            </w:r>
          </w:p>
        </w:tc>
        <w:tc>
          <w:tcPr>
            <w:tcW w:w="9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规模</w:t>
            </w:r>
          </w:p>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控制率</w:t>
            </w:r>
          </w:p>
        </w:tc>
        <w:tc>
          <w:tcPr>
            <w:tcW w:w="1050"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预算</w:t>
            </w:r>
          </w:p>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投资</w:t>
            </w:r>
          </w:p>
          <w:p>
            <w:pPr>
              <w:widowControl/>
              <w:jc w:val="center"/>
              <w:rPr>
                <w:rFonts w:hint="eastAsia" w:ascii="Times New Roman" w:hAnsi="Times New Roman" w:eastAsia="仿宋" w:cs="Times New Roman"/>
                <w:bCs/>
                <w:kern w:val="0"/>
                <w:sz w:val="24"/>
                <w:szCs w:val="24"/>
              </w:rPr>
            </w:pPr>
            <w:r>
              <w:rPr>
                <w:rFonts w:hint="eastAsia" w:ascii="Times New Roman" w:hAnsi="Times New Roman" w:eastAsia="仿宋" w:cs="Times New Roman"/>
                <w:bCs/>
                <w:kern w:val="0"/>
                <w:sz w:val="24"/>
                <w:szCs w:val="24"/>
              </w:rPr>
              <w:t>(</w:t>
            </w:r>
            <w:r>
              <w:rPr>
                <w:rFonts w:ascii="Times New Roman" w:hAnsi="Times New Roman" w:eastAsia="仿宋" w:cs="Times New Roman"/>
                <w:bCs/>
                <w:kern w:val="0"/>
                <w:sz w:val="24"/>
                <w:szCs w:val="24"/>
              </w:rPr>
              <w:t>万元</w:t>
            </w:r>
            <w:r>
              <w:rPr>
                <w:rFonts w:hint="eastAsia" w:ascii="Times New Roman" w:hAnsi="Times New Roman" w:eastAsia="仿宋" w:cs="Times New Roman"/>
                <w:bCs/>
                <w:kern w:val="0"/>
                <w:sz w:val="24"/>
                <w:szCs w:val="24"/>
              </w:rPr>
              <w:t>)</w:t>
            </w:r>
          </w:p>
        </w:tc>
        <w:tc>
          <w:tcPr>
            <w:tcW w:w="1009"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实际</w:t>
            </w:r>
          </w:p>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投资</w:t>
            </w:r>
          </w:p>
          <w:p>
            <w:pPr>
              <w:widowControl/>
              <w:jc w:val="center"/>
              <w:rPr>
                <w:rFonts w:hint="eastAsia" w:ascii="Times New Roman" w:hAnsi="Times New Roman" w:eastAsia="仿宋" w:cs="Times New Roman"/>
                <w:bCs/>
                <w:kern w:val="0"/>
                <w:sz w:val="24"/>
                <w:szCs w:val="24"/>
              </w:rPr>
            </w:pPr>
            <w:r>
              <w:rPr>
                <w:rFonts w:hint="eastAsia" w:ascii="Times New Roman" w:hAnsi="Times New Roman" w:eastAsia="仿宋" w:cs="Times New Roman"/>
                <w:bCs/>
                <w:kern w:val="0"/>
                <w:sz w:val="24"/>
                <w:szCs w:val="24"/>
              </w:rPr>
              <w:t>(</w:t>
            </w:r>
            <w:r>
              <w:rPr>
                <w:rFonts w:ascii="Times New Roman" w:hAnsi="Times New Roman" w:eastAsia="仿宋" w:cs="Times New Roman"/>
                <w:bCs/>
                <w:kern w:val="0"/>
                <w:sz w:val="24"/>
                <w:szCs w:val="24"/>
              </w:rPr>
              <w:t>万元</w:t>
            </w:r>
            <w:r>
              <w:rPr>
                <w:rFonts w:hint="eastAsia" w:ascii="Times New Roman" w:hAnsi="Times New Roman" w:eastAsia="仿宋" w:cs="Times New Roman"/>
                <w:bCs/>
                <w:kern w:val="0"/>
                <w:sz w:val="24"/>
                <w:szCs w:val="24"/>
              </w:rPr>
              <w:t>)</w:t>
            </w:r>
          </w:p>
        </w:tc>
        <w:tc>
          <w:tcPr>
            <w:tcW w:w="948"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投资</w:t>
            </w:r>
          </w:p>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概算</w:t>
            </w:r>
          </w:p>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控制率</w:t>
            </w:r>
          </w:p>
        </w:tc>
      </w:tr>
      <w:tr>
        <w:tblPrEx>
          <w:tblLayout w:type="fixed"/>
          <w:tblCellMar>
            <w:top w:w="0" w:type="dxa"/>
            <w:left w:w="108" w:type="dxa"/>
            <w:bottom w:w="0" w:type="dxa"/>
            <w:right w:w="108" w:type="dxa"/>
          </w:tblCellMar>
        </w:tblPrEx>
        <w:trPr>
          <w:trHeight w:val="177" w:hRule="atLeast"/>
          <w:jc w:val="center"/>
        </w:trPr>
        <w:tc>
          <w:tcPr>
            <w:tcW w:w="332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4"/>
                <w:szCs w:val="24"/>
              </w:rPr>
            </w:pPr>
          </w:p>
        </w:tc>
        <w:tc>
          <w:tcPr>
            <w:tcW w:w="1106"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szCs w:val="24"/>
              </w:rPr>
            </w:pPr>
            <w:r>
              <w:rPr>
                <w:rFonts w:hint="eastAsia" w:eastAsia="仿宋" w:cs="Times New Roman"/>
                <w:kern w:val="0"/>
                <w:sz w:val="24"/>
                <w:szCs w:val="24"/>
                <w:lang w:val="en-US" w:eastAsia="zh-CN"/>
              </w:rPr>
              <w:t>无</w:t>
            </w:r>
            <w:r>
              <w:rPr>
                <w:rFonts w:ascii="Times New Roman" w:hAnsi="Times New Roman" w:eastAsia="仿宋" w:cs="Times New Roman"/>
                <w:kern w:val="0"/>
                <w:sz w:val="24"/>
                <w:szCs w:val="24"/>
              </w:rPr>
              <w:t>　</w:t>
            </w:r>
          </w:p>
        </w:tc>
        <w:tc>
          <w:tcPr>
            <w:tcW w:w="750" w:type="dxa"/>
            <w:tcBorders>
              <w:top w:val="nil"/>
              <w:left w:val="nil"/>
              <w:bottom w:val="single" w:color="auto" w:sz="4" w:space="0"/>
              <w:right w:val="single" w:color="auto" w:sz="4" w:space="0"/>
            </w:tcBorders>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r>
              <w:rPr>
                <w:rFonts w:hint="eastAsia" w:eastAsia="仿宋" w:cs="Times New Roman"/>
                <w:kern w:val="0"/>
                <w:sz w:val="24"/>
                <w:szCs w:val="24"/>
                <w:lang w:val="en-US" w:eastAsia="zh-CN"/>
              </w:rPr>
              <w:t>无</w:t>
            </w:r>
          </w:p>
        </w:tc>
        <w:tc>
          <w:tcPr>
            <w:tcW w:w="934" w:type="dxa"/>
            <w:tcBorders>
              <w:top w:val="nil"/>
              <w:left w:val="nil"/>
              <w:bottom w:val="single" w:color="auto" w:sz="4" w:space="0"/>
              <w:right w:val="single" w:color="auto" w:sz="4" w:space="0"/>
            </w:tcBorders>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r>
              <w:rPr>
                <w:rFonts w:hint="eastAsia" w:eastAsia="仿宋" w:cs="Times New Roman"/>
                <w:kern w:val="0"/>
                <w:sz w:val="24"/>
                <w:szCs w:val="24"/>
                <w:lang w:val="en-US" w:eastAsia="zh-CN"/>
              </w:rPr>
              <w:t>无</w:t>
            </w:r>
          </w:p>
        </w:tc>
        <w:tc>
          <w:tcPr>
            <w:tcW w:w="1050" w:type="dxa"/>
            <w:tcBorders>
              <w:top w:val="nil"/>
              <w:left w:val="nil"/>
              <w:bottom w:val="single" w:color="auto" w:sz="4" w:space="0"/>
              <w:right w:val="single" w:color="auto" w:sz="4" w:space="0"/>
            </w:tcBorders>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r>
              <w:rPr>
                <w:rFonts w:hint="eastAsia" w:eastAsia="仿宋" w:cs="Times New Roman"/>
                <w:kern w:val="0"/>
                <w:sz w:val="24"/>
                <w:szCs w:val="24"/>
                <w:lang w:val="en-US" w:eastAsia="zh-CN"/>
              </w:rPr>
              <w:t>无</w:t>
            </w:r>
          </w:p>
        </w:tc>
        <w:tc>
          <w:tcPr>
            <w:tcW w:w="1009" w:type="dxa"/>
            <w:tcBorders>
              <w:top w:val="nil"/>
              <w:left w:val="nil"/>
              <w:bottom w:val="single" w:color="auto" w:sz="4" w:space="0"/>
              <w:right w:val="single" w:color="auto" w:sz="4" w:space="0"/>
            </w:tcBorders>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r>
              <w:rPr>
                <w:rFonts w:hint="eastAsia" w:eastAsia="仿宋" w:cs="Times New Roman"/>
                <w:kern w:val="0"/>
                <w:sz w:val="24"/>
                <w:szCs w:val="24"/>
                <w:lang w:val="en-US" w:eastAsia="zh-CN"/>
              </w:rPr>
              <w:t>无</w:t>
            </w:r>
          </w:p>
        </w:tc>
        <w:tc>
          <w:tcPr>
            <w:tcW w:w="948" w:type="dxa"/>
            <w:tcBorders>
              <w:top w:val="nil"/>
              <w:left w:val="nil"/>
              <w:bottom w:val="single" w:color="auto" w:sz="4" w:space="0"/>
              <w:right w:val="single" w:color="auto" w:sz="4" w:space="0"/>
            </w:tcBorders>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r>
              <w:rPr>
                <w:rFonts w:hint="eastAsia" w:eastAsia="仿宋" w:cs="Times New Roman"/>
                <w:kern w:val="0"/>
                <w:sz w:val="24"/>
                <w:szCs w:val="24"/>
                <w:lang w:val="en-US" w:eastAsia="zh-CN"/>
              </w:rPr>
              <w:t>无</w:t>
            </w:r>
          </w:p>
        </w:tc>
      </w:tr>
      <w:tr>
        <w:tblPrEx>
          <w:tblLayout w:type="fixed"/>
          <w:tblCellMar>
            <w:top w:w="0" w:type="dxa"/>
            <w:left w:w="108" w:type="dxa"/>
            <w:bottom w:w="0" w:type="dxa"/>
            <w:right w:w="108" w:type="dxa"/>
          </w:tblCellMar>
        </w:tblPrEx>
        <w:trPr>
          <w:trHeight w:val="979"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厉行节约保障措施</w:t>
            </w:r>
          </w:p>
        </w:tc>
        <w:tc>
          <w:tcPr>
            <w:tcW w:w="5797" w:type="dxa"/>
            <w:gridSpan w:val="6"/>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hint="eastAsia" w:eastAsia="仿宋" w:cs="Times New Roman"/>
                <w:kern w:val="0"/>
                <w:sz w:val="24"/>
                <w:szCs w:val="24"/>
                <w:lang w:val="en-US" w:eastAsia="zh-CN"/>
              </w:rPr>
              <w:t>农机事务中心财务管理制度。机关办公制度等</w:t>
            </w:r>
            <w:r>
              <w:rPr>
                <w:rFonts w:ascii="Times New Roman" w:hAnsi="Times New Roman" w:eastAsia="仿宋" w:cs="Times New Roman"/>
                <w:kern w:val="0"/>
                <w:sz w:val="24"/>
                <w:szCs w:val="24"/>
              </w:rPr>
              <w:t>　</w:t>
            </w:r>
          </w:p>
        </w:tc>
      </w:tr>
    </w:tbl>
    <w:p>
      <w:pPr>
        <w:widowControl/>
        <w:jc w:val="left"/>
        <w:rPr>
          <w:rFonts w:ascii="Times New Roman" w:hAnsi="Times New Roman" w:eastAsia="仿宋" w:cs="Times New Roman"/>
          <w:kern w:val="0"/>
          <w:sz w:val="24"/>
          <w:szCs w:val="24"/>
        </w:rPr>
      </w:pPr>
    </w:p>
    <w:p>
      <w:pPr>
        <w:widowControl/>
        <w:spacing w:line="600" w:lineRule="exact"/>
        <w:rPr>
          <w:rFonts w:hint="eastAsia" w:ascii="仿宋_GB2312" w:hAnsi="仿宋_GB2312" w:eastAsia="仿宋_GB2312" w:cs="仿宋_GB2312"/>
          <w:color w:val="222222"/>
          <w:kern w:val="0"/>
          <w:sz w:val="32"/>
          <w:szCs w:val="32"/>
        </w:rPr>
      </w:pPr>
      <w:r>
        <w:rPr>
          <w:rFonts w:ascii="Times New Roman" w:hAnsi="Times New Roman" w:eastAsia="仿宋" w:cs="Times New Roman"/>
          <w:kern w:val="0"/>
          <w:sz w:val="24"/>
          <w:szCs w:val="24"/>
        </w:rPr>
        <w:t>说明：“项目支出”需要填报所有项目情况，包括业务工作项目、运行维护项目等；“公用经费”填报基本支出中的一般商品和服务支出。</w:t>
      </w:r>
    </w:p>
    <w:p>
      <w:pPr>
        <w:widowControl/>
        <w:spacing w:line="600" w:lineRule="exact"/>
        <w:ind w:firstLine="640"/>
        <w:rPr>
          <w:rFonts w:hint="eastAsia" w:ascii="仿宋_GB2312" w:hAnsi="仿宋_GB2312" w:eastAsia="仿宋_GB2312" w:cs="仿宋_GB2312"/>
          <w:color w:val="222222"/>
          <w:kern w:val="0"/>
          <w:sz w:val="32"/>
          <w:szCs w:val="32"/>
        </w:rPr>
      </w:pPr>
    </w:p>
    <w:p>
      <w:pPr>
        <w:widowControl/>
        <w:spacing w:line="600" w:lineRule="exact"/>
        <w:ind w:firstLine="640"/>
        <w:rPr>
          <w:rFonts w:hint="eastAsia" w:ascii="仿宋_GB2312" w:hAnsi="仿宋_GB2312" w:eastAsia="仿宋_GB2312" w:cs="仿宋_GB2312"/>
          <w:color w:val="222222"/>
          <w:kern w:val="0"/>
          <w:sz w:val="32"/>
          <w:szCs w:val="32"/>
        </w:rPr>
      </w:pPr>
    </w:p>
    <w:p>
      <w:pPr>
        <w:widowControl/>
        <w:spacing w:line="600" w:lineRule="exact"/>
        <w:ind w:firstLine="640"/>
        <w:rPr>
          <w:rFonts w:hint="eastAsia" w:ascii="仿宋_GB2312" w:hAnsi="仿宋_GB2312" w:eastAsia="仿宋_GB2312" w:cs="仿宋_GB2312"/>
          <w:color w:val="222222"/>
          <w:kern w:val="0"/>
          <w:sz w:val="32"/>
          <w:szCs w:val="32"/>
          <w:lang w:val="en-US" w:eastAsia="zh-CN"/>
        </w:rPr>
      </w:pPr>
    </w:p>
    <w:p>
      <w:pPr>
        <w:widowControl/>
        <w:spacing w:line="600" w:lineRule="exact"/>
        <w:ind w:firstLine="640" w:firstLineChars="200"/>
        <w:rPr>
          <w:rFonts w:hint="eastAsia" w:ascii="黑体" w:eastAsia="黑体"/>
          <w:color w:val="222222"/>
          <w:kern w:val="0"/>
          <w:sz w:val="32"/>
          <w:szCs w:val="32"/>
        </w:rPr>
      </w:pPr>
    </w:p>
    <w:p>
      <w:pPr>
        <w:spacing w:line="340" w:lineRule="exact"/>
        <w:ind w:firstLine="496" w:firstLineChars="200"/>
        <w:rPr>
          <w:rFonts w:hint="eastAsia" w:ascii="仿宋_GB2312" w:eastAsia="仿宋_GB2312"/>
          <w:spacing w:val="-6"/>
          <w:sz w:val="26"/>
          <w:szCs w:val="32"/>
        </w:rPr>
      </w:pPr>
    </w:p>
    <w:p>
      <w:pPr>
        <w:spacing w:line="340" w:lineRule="exact"/>
        <w:ind w:firstLine="496" w:firstLineChars="200"/>
        <w:rPr>
          <w:rFonts w:hint="eastAsia" w:ascii="仿宋_GB2312" w:eastAsia="仿宋_GB2312"/>
          <w:spacing w:val="-6"/>
          <w:sz w:val="26"/>
          <w:szCs w:val="32"/>
        </w:rPr>
        <w:sectPr>
          <w:headerReference r:id="rId3" w:type="default"/>
          <w:pgSz w:w="11906" w:h="16838"/>
          <w:pgMar w:top="1701" w:right="1531" w:bottom="1247" w:left="1701" w:header="851" w:footer="992" w:gutter="0"/>
          <w:cols w:space="720" w:num="1"/>
          <w:docGrid w:type="lines" w:linePitch="312" w:charSpace="0"/>
        </w:sectPr>
      </w:pPr>
    </w:p>
    <w:p>
      <w:pPr>
        <w:tabs>
          <w:tab w:val="left" w:pos="1530"/>
        </w:tabs>
        <w:spacing w:line="20" w:lineRule="exact"/>
        <w:rPr>
          <w:rFonts w:hint="eastAsia"/>
        </w:rPr>
      </w:pPr>
    </w:p>
    <w:sectPr>
      <w:pgSz w:w="16838" w:h="11906" w:orient="landscape"/>
      <w:pgMar w:top="1304" w:right="153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幼圆">
    <w:panose1 w:val="0201050906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F0571F"/>
    <w:multiLevelType w:val="singleLevel"/>
    <w:tmpl w:val="51F0571F"/>
    <w:lvl w:ilvl="0" w:tentative="0">
      <w:start w:val="2"/>
      <w:numFmt w:val="chineseCounting"/>
      <w:suff w:val="nothing"/>
      <w:lvlText w:val="（%1）"/>
      <w:lvlJc w:val="left"/>
      <w:rPr>
        <w:rFonts w:hint="eastAsia"/>
      </w:rPr>
    </w:lvl>
  </w:abstractNum>
  <w:abstractNum w:abstractNumId="1">
    <w:nsid w:val="592F6649"/>
    <w:multiLevelType w:val="singleLevel"/>
    <w:tmpl w:val="592F6649"/>
    <w:lvl w:ilvl="0" w:tentative="0">
      <w:start w:val="2"/>
      <w:numFmt w:val="chineseCounting"/>
      <w:suff w:val="nothing"/>
      <w:lvlText w:val="（%1）"/>
      <w:lvlJc w:val="left"/>
    </w:lvl>
  </w:abstractNum>
  <w:abstractNum w:abstractNumId="2">
    <w:nsid w:val="5B068935"/>
    <w:multiLevelType w:val="singleLevel"/>
    <w:tmpl w:val="5B068935"/>
    <w:lvl w:ilvl="0" w:tentative="0">
      <w:start w:val="4"/>
      <w:numFmt w:val="chineseCounting"/>
      <w:suff w:val="nothing"/>
      <w:lvlText w:val="%1、"/>
      <w:lvlJc w:val="left"/>
    </w:lvl>
  </w:abstractNum>
  <w:abstractNum w:abstractNumId="3">
    <w:nsid w:val="60F627A2"/>
    <w:multiLevelType w:val="singleLevel"/>
    <w:tmpl w:val="60F627A2"/>
    <w:lvl w:ilvl="0" w:tentative="0">
      <w:start w:val="6"/>
      <w:numFmt w:val="chineseCounting"/>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A1AFD"/>
    <w:rsid w:val="00042339"/>
    <w:rsid w:val="00073C57"/>
    <w:rsid w:val="000906D8"/>
    <w:rsid w:val="0009256D"/>
    <w:rsid w:val="000B379B"/>
    <w:rsid w:val="000E535C"/>
    <w:rsid w:val="00116949"/>
    <w:rsid w:val="0012585C"/>
    <w:rsid w:val="00125A32"/>
    <w:rsid w:val="0013090A"/>
    <w:rsid w:val="001B79BE"/>
    <w:rsid w:val="0026043A"/>
    <w:rsid w:val="002D3E99"/>
    <w:rsid w:val="002F530A"/>
    <w:rsid w:val="0030677E"/>
    <w:rsid w:val="00325323"/>
    <w:rsid w:val="00332DF3"/>
    <w:rsid w:val="003966EB"/>
    <w:rsid w:val="003D5D6D"/>
    <w:rsid w:val="003F211B"/>
    <w:rsid w:val="005071CC"/>
    <w:rsid w:val="0059183C"/>
    <w:rsid w:val="005B54F3"/>
    <w:rsid w:val="005D13A4"/>
    <w:rsid w:val="00622598"/>
    <w:rsid w:val="00654EA3"/>
    <w:rsid w:val="006861D5"/>
    <w:rsid w:val="00693A41"/>
    <w:rsid w:val="006C4430"/>
    <w:rsid w:val="008819D7"/>
    <w:rsid w:val="008C51C5"/>
    <w:rsid w:val="00905526"/>
    <w:rsid w:val="0095737C"/>
    <w:rsid w:val="00987555"/>
    <w:rsid w:val="00997E5C"/>
    <w:rsid w:val="009B6CC1"/>
    <w:rsid w:val="00A52AD5"/>
    <w:rsid w:val="00A8656F"/>
    <w:rsid w:val="00AC609C"/>
    <w:rsid w:val="00B0709A"/>
    <w:rsid w:val="00B55D62"/>
    <w:rsid w:val="00B63CEC"/>
    <w:rsid w:val="00B752A1"/>
    <w:rsid w:val="00B8665B"/>
    <w:rsid w:val="00BA4DDD"/>
    <w:rsid w:val="00BD66E2"/>
    <w:rsid w:val="00C041BE"/>
    <w:rsid w:val="00C63FDB"/>
    <w:rsid w:val="00C70A2D"/>
    <w:rsid w:val="00C71ADB"/>
    <w:rsid w:val="00D04EFA"/>
    <w:rsid w:val="00D32B5A"/>
    <w:rsid w:val="00D66745"/>
    <w:rsid w:val="00DA4B09"/>
    <w:rsid w:val="00DC29B8"/>
    <w:rsid w:val="00DD6174"/>
    <w:rsid w:val="00DE0FF2"/>
    <w:rsid w:val="00E904DB"/>
    <w:rsid w:val="00EF0D92"/>
    <w:rsid w:val="00F03AAA"/>
    <w:rsid w:val="00F21646"/>
    <w:rsid w:val="00F900FA"/>
    <w:rsid w:val="00FA1AFD"/>
    <w:rsid w:val="00FB1E77"/>
    <w:rsid w:val="07E35742"/>
    <w:rsid w:val="088152A5"/>
    <w:rsid w:val="0C4E0FAC"/>
    <w:rsid w:val="0C770E76"/>
    <w:rsid w:val="0D1769DE"/>
    <w:rsid w:val="0DB76EDF"/>
    <w:rsid w:val="0F2D71E6"/>
    <w:rsid w:val="0F783007"/>
    <w:rsid w:val="10BB4205"/>
    <w:rsid w:val="123A1350"/>
    <w:rsid w:val="14A90961"/>
    <w:rsid w:val="15632E0D"/>
    <w:rsid w:val="15AF1222"/>
    <w:rsid w:val="183A1285"/>
    <w:rsid w:val="1D867A0C"/>
    <w:rsid w:val="217B1CCD"/>
    <w:rsid w:val="22845854"/>
    <w:rsid w:val="2691045A"/>
    <w:rsid w:val="26E04DB6"/>
    <w:rsid w:val="2BDE4E71"/>
    <w:rsid w:val="2C505295"/>
    <w:rsid w:val="2CF31E1C"/>
    <w:rsid w:val="2EC47659"/>
    <w:rsid w:val="2F247218"/>
    <w:rsid w:val="300121EB"/>
    <w:rsid w:val="30726635"/>
    <w:rsid w:val="31012604"/>
    <w:rsid w:val="324B3E5B"/>
    <w:rsid w:val="329F2AC2"/>
    <w:rsid w:val="342854CA"/>
    <w:rsid w:val="35127CD4"/>
    <w:rsid w:val="35CA4450"/>
    <w:rsid w:val="37D62F13"/>
    <w:rsid w:val="385167B7"/>
    <w:rsid w:val="39C278F2"/>
    <w:rsid w:val="3A2B18B4"/>
    <w:rsid w:val="3A516784"/>
    <w:rsid w:val="3C44013A"/>
    <w:rsid w:val="3CF70A9D"/>
    <w:rsid w:val="3D2F003E"/>
    <w:rsid w:val="3DA86A54"/>
    <w:rsid w:val="3FD25179"/>
    <w:rsid w:val="3FD82E81"/>
    <w:rsid w:val="409E1C26"/>
    <w:rsid w:val="42495546"/>
    <w:rsid w:val="4331605A"/>
    <w:rsid w:val="43DB7F1E"/>
    <w:rsid w:val="44543887"/>
    <w:rsid w:val="45DF66E7"/>
    <w:rsid w:val="46AC0B5A"/>
    <w:rsid w:val="4B8F528B"/>
    <w:rsid w:val="4B905EFA"/>
    <w:rsid w:val="4CFE159C"/>
    <w:rsid w:val="4D8E7921"/>
    <w:rsid w:val="4DFB058C"/>
    <w:rsid w:val="4F505F3E"/>
    <w:rsid w:val="4F884660"/>
    <w:rsid w:val="501464FF"/>
    <w:rsid w:val="53082DF0"/>
    <w:rsid w:val="535049AA"/>
    <w:rsid w:val="5521252A"/>
    <w:rsid w:val="557012E6"/>
    <w:rsid w:val="57FF387B"/>
    <w:rsid w:val="581F02A1"/>
    <w:rsid w:val="5A7D16F8"/>
    <w:rsid w:val="5D0636F0"/>
    <w:rsid w:val="5D317630"/>
    <w:rsid w:val="5FF91231"/>
    <w:rsid w:val="640A5A87"/>
    <w:rsid w:val="64843931"/>
    <w:rsid w:val="6630744A"/>
    <w:rsid w:val="6652177C"/>
    <w:rsid w:val="66825983"/>
    <w:rsid w:val="6683152F"/>
    <w:rsid w:val="6764217C"/>
    <w:rsid w:val="69601F89"/>
    <w:rsid w:val="69A70EBD"/>
    <w:rsid w:val="69B15FDC"/>
    <w:rsid w:val="6A1C6103"/>
    <w:rsid w:val="6B350F55"/>
    <w:rsid w:val="6DEB64C9"/>
    <w:rsid w:val="6E773F05"/>
    <w:rsid w:val="71533E57"/>
    <w:rsid w:val="734D5E10"/>
    <w:rsid w:val="75E85691"/>
    <w:rsid w:val="763408D3"/>
    <w:rsid w:val="763F0BCD"/>
    <w:rsid w:val="775648F7"/>
    <w:rsid w:val="7BB727B4"/>
    <w:rsid w:val="7C7C0003"/>
    <w:rsid w:val="7D661715"/>
    <w:rsid w:val="7DF2463A"/>
    <w:rsid w:val="7EA0321B"/>
    <w:rsid w:val="7F8A1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link w:val="7"/>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char"/>
    <w:basedOn w:val="1"/>
    <w:link w:val="6"/>
    <w:qFormat/>
    <w:uiPriority w:val="0"/>
    <w:pPr>
      <w:widowControl/>
      <w:spacing w:after="160" w:line="240" w:lineRule="exact"/>
      <w:jc w:val="left"/>
    </w:pPr>
    <w:rPr>
      <w:rFonts w:ascii="Verdana" w:hAnsi="Verdana" w:eastAsia="仿宋_GB2312" w:cs="Verdana"/>
      <w:kern w:val="0"/>
      <w:sz w:val="24"/>
      <w:szCs w:val="21"/>
      <w:lang w:eastAsia="en-US"/>
    </w:rPr>
  </w:style>
  <w:style w:type="character" w:styleId="8">
    <w:name w:val="page number"/>
    <w:basedOn w:val="6"/>
    <w:qFormat/>
    <w:uiPriority w:val="0"/>
  </w:style>
  <w:style w:type="paragraph" w:customStyle="1" w:styleId="10">
    <w:name w:val="p0"/>
    <w:basedOn w:val="1"/>
    <w:qFormat/>
    <w:uiPriority w:val="0"/>
    <w:pPr>
      <w:widowControl/>
    </w:pPr>
    <w:rPr>
      <w:kern w:val="0"/>
      <w:szCs w:val="21"/>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1362</Words>
  <Characters>7767</Characters>
  <Lines>64</Lines>
  <Paragraphs>18</Paragraphs>
  <ScaleCrop>false</ScaleCrop>
  <LinksUpToDate>false</LinksUpToDate>
  <CharactersWithSpaces>9111</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2017-10-23T07:19:00Z</dcterms:created>
  <dc:creator>孙泽</dc:creator>
  <cp:lastModifiedBy>Administrator</cp:lastModifiedBy>
  <cp:lastPrinted>2021-08-25T01:05:00Z</cp:lastPrinted>
  <dcterms:modified xsi:type="dcterms:W3CDTF">2021-08-30T02:23:38Z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