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填报单位：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eastAsia="zh-CN"/>
        </w:rPr>
        <w:t>桃源县人民政府金融工作办公室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ab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1104"/>
        <w:gridCol w:w="747"/>
        <w:gridCol w:w="932"/>
        <w:gridCol w:w="1050"/>
        <w:gridCol w:w="1007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eastAsia="zh-CN"/>
              </w:rPr>
              <w:t>20</w:t>
            </w:r>
            <w:r>
              <w:rPr>
                <w:rFonts w:hint="eastAsia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年实际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  <w:t>201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0.47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0.47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0.47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0.47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32.36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32.36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42.78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业务工作专项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32.36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32.36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42.78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运行维护专项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3.对企业补助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9.34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9.34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11.24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1.88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1.88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0.53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0.53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2.63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2.63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0.62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0.62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培训费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0.24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0.24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6.邮电费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7.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公务接待费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0.47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0.47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8.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工会经费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0.63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0.63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劳务费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0.37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0.37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印刷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0.26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0.26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维修（护）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1.18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1.18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租赁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其他交通费用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其他商品和服务支出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1.24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 xml:space="preserve">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部门整体支出预算调整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——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eastAsia="zh-CN"/>
              </w:rPr>
              <w:t>2018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批复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规模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㎡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实际规模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㎡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万元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万元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概算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公务接待严格按公务接待标准、范围执行，杜绝无公函接待、超标准、超范围接待现象发生。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仿宋" w:cs="Times New Roman"/>
          <w:kern w:val="0"/>
          <w:sz w:val="24"/>
          <w:szCs w:val="24"/>
        </w:rPr>
      </w:pPr>
    </w:p>
    <w:p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说明：“项目支出”需要填报所有项目情况，包括业务工作项目、运行维护项目等；“公用经费”填报基本支出中的一般商品和服务支出。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84340"/>
    <w:rsid w:val="08BF4B84"/>
    <w:rsid w:val="0F8E2D38"/>
    <w:rsid w:val="137D1CD8"/>
    <w:rsid w:val="17CD6945"/>
    <w:rsid w:val="190F67C2"/>
    <w:rsid w:val="37D55B92"/>
    <w:rsid w:val="398226A1"/>
    <w:rsid w:val="50B84340"/>
    <w:rsid w:val="5FDF6D5A"/>
    <w:rsid w:val="6D0359FC"/>
    <w:rsid w:val="73EF6AF3"/>
    <w:rsid w:val="7B31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2021-06-08T13:15:00Z</dcterms:created>
  <dc:creator>Administrator</dc:creator>
  <cp:lastModifiedBy>Administrator</cp:lastModifiedBy>
  <dcterms:modified xsi:type="dcterms:W3CDTF">2021-07-15T08:57:28Z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