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49" w:rsidRPr="000308E1" w:rsidRDefault="00C7459A" w:rsidP="000308E1">
      <w:pPr>
        <w:widowControl/>
        <w:spacing w:line="600" w:lineRule="atLeast"/>
        <w:jc w:val="center"/>
        <w:rPr>
          <w:rFonts w:asciiTheme="majorEastAsia" w:eastAsiaTheme="majorEastAsia" w:hAnsiTheme="majorEastAsia"/>
          <w:b/>
          <w:color w:val="222222"/>
          <w:kern w:val="0"/>
          <w:sz w:val="44"/>
          <w:szCs w:val="44"/>
        </w:rPr>
      </w:pPr>
      <w:r w:rsidRPr="000308E1">
        <w:rPr>
          <w:rFonts w:ascii="Times New Roman" w:eastAsiaTheme="majorEastAsia" w:hAnsi="Times New Roman"/>
          <w:b/>
          <w:color w:val="222222"/>
          <w:kern w:val="0"/>
          <w:sz w:val="44"/>
          <w:szCs w:val="44"/>
        </w:rPr>
        <w:t>201</w:t>
      </w:r>
      <w:r w:rsidR="00891274">
        <w:rPr>
          <w:rFonts w:ascii="Times New Roman" w:eastAsiaTheme="majorEastAsia" w:hAnsi="Times New Roman" w:hint="eastAsia"/>
          <w:b/>
          <w:color w:val="222222"/>
          <w:kern w:val="0"/>
          <w:sz w:val="44"/>
          <w:szCs w:val="44"/>
        </w:rPr>
        <w:t>9</w:t>
      </w:r>
      <w:r w:rsidRPr="000308E1">
        <w:rPr>
          <w:rFonts w:asciiTheme="majorEastAsia" w:eastAsiaTheme="majorEastAsia" w:hAnsiTheme="majorEastAsia" w:hint="eastAsia"/>
          <w:b/>
          <w:color w:val="222222"/>
          <w:kern w:val="0"/>
          <w:sz w:val="44"/>
          <w:szCs w:val="44"/>
        </w:rPr>
        <w:t>年</w:t>
      </w:r>
      <w:r w:rsidR="00B03149" w:rsidRPr="000308E1">
        <w:rPr>
          <w:rFonts w:asciiTheme="majorEastAsia" w:eastAsiaTheme="majorEastAsia" w:hAnsiTheme="majorEastAsia" w:hint="eastAsia"/>
          <w:b/>
          <w:color w:val="222222"/>
          <w:kern w:val="0"/>
          <w:sz w:val="44"/>
          <w:szCs w:val="44"/>
        </w:rPr>
        <w:t>桃源县机关事业单位社会保险处</w:t>
      </w:r>
    </w:p>
    <w:p w:rsidR="00001D38" w:rsidRPr="000308E1" w:rsidRDefault="00754120" w:rsidP="000308E1">
      <w:pPr>
        <w:widowControl/>
        <w:spacing w:line="600" w:lineRule="atLeast"/>
        <w:jc w:val="center"/>
        <w:rPr>
          <w:rFonts w:asciiTheme="majorEastAsia" w:eastAsiaTheme="majorEastAsia" w:hAnsiTheme="majorEastAsia"/>
          <w:b/>
          <w:color w:val="222222"/>
          <w:kern w:val="0"/>
          <w:sz w:val="44"/>
          <w:szCs w:val="44"/>
        </w:rPr>
      </w:pPr>
      <w:r w:rsidRPr="000308E1">
        <w:rPr>
          <w:rFonts w:asciiTheme="majorEastAsia" w:eastAsiaTheme="majorEastAsia" w:hAnsiTheme="majorEastAsia" w:hint="eastAsia"/>
          <w:b/>
          <w:color w:val="222222"/>
          <w:kern w:val="0"/>
          <w:sz w:val="44"/>
          <w:szCs w:val="44"/>
        </w:rPr>
        <w:t>部门</w:t>
      </w:r>
      <w:r w:rsidR="00160267" w:rsidRPr="000308E1">
        <w:rPr>
          <w:rFonts w:asciiTheme="majorEastAsia" w:eastAsiaTheme="majorEastAsia" w:hAnsiTheme="majorEastAsia"/>
          <w:b/>
          <w:color w:val="222222"/>
          <w:kern w:val="0"/>
          <w:sz w:val="44"/>
          <w:szCs w:val="44"/>
        </w:rPr>
        <w:t>整体支出绩效评价报告</w:t>
      </w:r>
    </w:p>
    <w:p w:rsidR="00B03149" w:rsidRPr="000308E1" w:rsidRDefault="00B03149" w:rsidP="000308E1">
      <w:pPr>
        <w:widowControl/>
        <w:spacing w:line="600" w:lineRule="atLeast"/>
        <w:jc w:val="center"/>
        <w:rPr>
          <w:rFonts w:asciiTheme="majorEastAsia" w:eastAsiaTheme="majorEastAsia" w:hAnsiTheme="majorEastAsia"/>
          <w:b/>
          <w:color w:val="222222"/>
          <w:kern w:val="0"/>
          <w:sz w:val="44"/>
          <w:szCs w:val="44"/>
        </w:rPr>
      </w:pPr>
    </w:p>
    <w:p w:rsidR="001C628A" w:rsidRPr="00B4750F" w:rsidRDefault="001C628A" w:rsidP="00B4750F">
      <w:pPr>
        <w:ind w:firstLineChars="300" w:firstLine="960"/>
        <w:rPr>
          <w:rFonts w:ascii="Times New Roman" w:eastAsia="仿宋_GB2312" w:hAnsi="Times New Roman"/>
          <w:color w:val="000000"/>
          <w:kern w:val="0"/>
          <w:sz w:val="44"/>
          <w:szCs w:val="44"/>
        </w:rPr>
      </w:pPr>
      <w:r>
        <w:rPr>
          <w:rFonts w:ascii="宋体" w:hAnsi="宋体" w:cs="宋体" w:hint="eastAsia"/>
          <w:sz w:val="32"/>
          <w:szCs w:val="32"/>
        </w:rPr>
        <w:t xml:space="preserve">   </w:t>
      </w:r>
      <w:r w:rsidR="00B4750F">
        <w:rPr>
          <w:rFonts w:ascii="仿宋_GB2312" w:eastAsia="仿宋_GB2312" w:hAnsi="仿宋" w:cs="仿宋" w:hint="eastAsia"/>
          <w:color w:val="000000"/>
          <w:sz w:val="32"/>
          <w:szCs w:val="32"/>
        </w:rPr>
        <w:t>为强化财政支出资金管理，提高财政资金使用效益，根据《桃源县财政局关于明确2020年度县本级财政资金预算绩效管理目标任务的通知》</w:t>
      </w:r>
      <w:r w:rsidR="00B4750F">
        <w:rPr>
          <w:rFonts w:ascii="仿宋" w:eastAsia="仿宋" w:hAnsi="仿宋" w:cs="仿宋_GB2312" w:hint="eastAsia"/>
          <w:color w:val="000000"/>
          <w:sz w:val="32"/>
          <w:szCs w:val="32"/>
        </w:rPr>
        <w:t>（桃财发〔2020〕8号）</w:t>
      </w:r>
      <w:r w:rsidR="00B4750F">
        <w:rPr>
          <w:rFonts w:ascii="仿宋_GB2312" w:eastAsia="仿宋_GB2312" w:hAnsi="仿宋" w:cs="仿宋" w:hint="eastAsia"/>
          <w:color w:val="000000"/>
          <w:sz w:val="32"/>
          <w:szCs w:val="32"/>
        </w:rPr>
        <w:t>预算绩效工作安排，我们对</w:t>
      </w:r>
      <w:r w:rsidR="00B4750F">
        <w:rPr>
          <w:rFonts w:ascii="仿宋_GB2312" w:eastAsia="仿宋_GB2312" w:hAnsi="仿宋" w:cs="仿宋"/>
          <w:color w:val="000000"/>
          <w:sz w:val="32"/>
          <w:szCs w:val="32"/>
        </w:rPr>
        <w:t>201</w:t>
      </w:r>
      <w:r w:rsidR="00B4750F">
        <w:rPr>
          <w:rFonts w:ascii="仿宋_GB2312" w:eastAsia="仿宋_GB2312" w:hAnsi="仿宋" w:cs="仿宋" w:hint="eastAsia"/>
          <w:color w:val="000000"/>
          <w:sz w:val="32"/>
          <w:szCs w:val="32"/>
        </w:rPr>
        <w:t>9</w:t>
      </w:r>
      <w:r w:rsidR="00B4750F">
        <w:rPr>
          <w:rFonts w:ascii="仿宋_GB2312" w:eastAsia="仿宋_GB2312" w:hAnsi="仿宋" w:cs="仿宋"/>
          <w:color w:val="000000"/>
          <w:sz w:val="32"/>
          <w:szCs w:val="32"/>
        </w:rPr>
        <w:t>年度</w:t>
      </w:r>
      <w:r w:rsidR="00B4750F">
        <w:rPr>
          <w:rFonts w:ascii="仿宋_GB2312" w:eastAsia="仿宋_GB2312" w:hAnsi="仿宋" w:cs="仿宋" w:hint="eastAsia"/>
          <w:color w:val="000000"/>
          <w:sz w:val="32"/>
          <w:szCs w:val="32"/>
        </w:rPr>
        <w:t>桃源县就业服务中心部门整体支出进行了绩效评价，形成本报告。</w:t>
      </w:r>
    </w:p>
    <w:p w:rsidR="00160267" w:rsidRPr="00DE04EC" w:rsidRDefault="001C628A" w:rsidP="000308E1">
      <w:pPr>
        <w:widowControl/>
        <w:spacing w:line="600" w:lineRule="atLeast"/>
        <w:rPr>
          <w:rFonts w:ascii="Times New Roman" w:eastAsia="黑体" w:hAnsi="Times New Roman"/>
          <w:color w:val="222222"/>
          <w:kern w:val="0"/>
          <w:sz w:val="32"/>
          <w:szCs w:val="32"/>
        </w:rPr>
      </w:pPr>
      <w:r>
        <w:rPr>
          <w:rFonts w:ascii="Times New Roman" w:eastAsia="黑体" w:hAnsi="Times New Roman" w:hint="eastAsia"/>
          <w:color w:val="222222"/>
          <w:kern w:val="0"/>
          <w:sz w:val="32"/>
          <w:szCs w:val="32"/>
        </w:rPr>
        <w:t xml:space="preserve">    </w:t>
      </w:r>
      <w:r w:rsidR="00160267" w:rsidRPr="00DE04EC">
        <w:rPr>
          <w:rFonts w:ascii="Times New Roman" w:eastAsia="黑体" w:hAnsi="Times New Roman"/>
          <w:color w:val="222222"/>
          <w:kern w:val="0"/>
          <w:sz w:val="32"/>
          <w:szCs w:val="32"/>
        </w:rPr>
        <w:t>一、部门概况</w:t>
      </w:r>
    </w:p>
    <w:p w:rsidR="00160267" w:rsidRDefault="00160267" w:rsidP="000308E1">
      <w:pPr>
        <w:widowControl/>
        <w:spacing w:line="600" w:lineRule="atLeast"/>
        <w:ind w:firstLineChars="150" w:firstLine="480"/>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（一）</w:t>
      </w:r>
      <w:r w:rsidRPr="00DE04EC">
        <w:rPr>
          <w:rFonts w:ascii="Times New Roman" w:eastAsia="楷体_GB2312" w:hAnsi="Times New Roman"/>
          <w:color w:val="222222"/>
          <w:kern w:val="0"/>
          <w:sz w:val="32"/>
          <w:szCs w:val="32"/>
        </w:rPr>
        <w:t xml:space="preserve"> </w:t>
      </w:r>
      <w:r w:rsidRPr="00DE04EC">
        <w:rPr>
          <w:rFonts w:ascii="Times New Roman" w:eastAsia="楷体_GB2312" w:hAnsi="Times New Roman"/>
          <w:color w:val="222222"/>
          <w:kern w:val="0"/>
          <w:sz w:val="32"/>
          <w:szCs w:val="32"/>
        </w:rPr>
        <w:t>机构、人员构成</w:t>
      </w:r>
    </w:p>
    <w:p w:rsidR="00382A10" w:rsidRDefault="008E47C8" w:rsidP="000308E1">
      <w:pPr>
        <w:widowControl/>
        <w:spacing w:line="600" w:lineRule="atLeast"/>
        <w:ind w:firstLine="640"/>
        <w:rPr>
          <w:rFonts w:ascii="仿宋" w:eastAsia="仿宋" w:hAnsi="仿宋"/>
          <w:color w:val="222222"/>
          <w:kern w:val="0"/>
          <w:sz w:val="32"/>
          <w:szCs w:val="32"/>
        </w:rPr>
      </w:pPr>
      <w:r w:rsidRPr="008E47C8">
        <w:rPr>
          <w:rFonts w:ascii="仿宋" w:eastAsia="仿宋" w:hAnsi="仿宋" w:hint="eastAsia"/>
          <w:color w:val="222222"/>
          <w:kern w:val="0"/>
          <w:sz w:val="32"/>
          <w:szCs w:val="32"/>
        </w:rPr>
        <w:t>桃源县</w:t>
      </w:r>
      <w:r>
        <w:rPr>
          <w:rFonts w:ascii="仿宋" w:eastAsia="仿宋" w:hAnsi="仿宋" w:hint="eastAsia"/>
          <w:color w:val="222222"/>
          <w:kern w:val="0"/>
          <w:sz w:val="32"/>
          <w:szCs w:val="32"/>
        </w:rPr>
        <w:t>机关事业单位社会保险处是参照公务员管理的事业单位，包括办公室、待遇计发股、登记股、个人账户管理股、职业年金股、财务股、稽核股。</w:t>
      </w:r>
    </w:p>
    <w:p w:rsidR="008E47C8" w:rsidRPr="008E47C8" w:rsidRDefault="0063032F" w:rsidP="0063032F">
      <w:pPr>
        <w:widowControl/>
        <w:spacing w:line="600" w:lineRule="atLeast"/>
        <w:ind w:firstLine="640"/>
        <w:rPr>
          <w:rFonts w:ascii="仿宋" w:eastAsia="仿宋" w:hAnsi="仿宋"/>
          <w:color w:val="222222"/>
          <w:kern w:val="0"/>
          <w:sz w:val="32"/>
          <w:szCs w:val="32"/>
        </w:rPr>
      </w:pPr>
      <w:r w:rsidRPr="0063032F">
        <w:rPr>
          <w:rFonts w:ascii="仿宋" w:eastAsia="仿宋" w:hAnsi="仿宋" w:hint="eastAsia"/>
          <w:color w:val="222222"/>
          <w:kern w:val="0"/>
          <w:sz w:val="32"/>
          <w:szCs w:val="32"/>
        </w:rPr>
        <w:t>2019年末实有人员25人，</w:t>
      </w:r>
      <w:r w:rsidR="008E47C8" w:rsidRPr="0063032F">
        <w:rPr>
          <w:rFonts w:ascii="仿宋" w:eastAsia="仿宋" w:hAnsi="仿宋" w:hint="eastAsia"/>
          <w:color w:val="222222"/>
          <w:kern w:val="0"/>
          <w:sz w:val="32"/>
          <w:szCs w:val="32"/>
        </w:rPr>
        <w:t>在编在职工作人员</w:t>
      </w:r>
      <w:r w:rsidR="00891274" w:rsidRPr="0063032F">
        <w:rPr>
          <w:rFonts w:ascii="仿宋" w:eastAsia="仿宋" w:hAnsi="仿宋" w:hint="eastAsia"/>
          <w:color w:val="222222"/>
          <w:kern w:val="0"/>
          <w:sz w:val="32"/>
          <w:szCs w:val="32"/>
        </w:rPr>
        <w:t>1</w:t>
      </w:r>
      <w:r w:rsidRPr="0063032F">
        <w:rPr>
          <w:rFonts w:ascii="仿宋" w:eastAsia="仿宋" w:hAnsi="仿宋" w:hint="eastAsia"/>
          <w:color w:val="222222"/>
          <w:kern w:val="0"/>
          <w:sz w:val="32"/>
          <w:szCs w:val="32"/>
        </w:rPr>
        <w:t>9</w:t>
      </w:r>
      <w:r w:rsidR="008E47C8" w:rsidRPr="0063032F">
        <w:rPr>
          <w:rFonts w:ascii="仿宋" w:eastAsia="仿宋" w:hAnsi="仿宋" w:hint="eastAsia"/>
          <w:color w:val="222222"/>
          <w:kern w:val="0"/>
          <w:sz w:val="32"/>
          <w:szCs w:val="32"/>
        </w:rPr>
        <w:t>人。退休人员</w:t>
      </w:r>
      <w:r w:rsidRPr="0063032F">
        <w:rPr>
          <w:rFonts w:ascii="仿宋" w:eastAsia="仿宋" w:hAnsi="仿宋" w:hint="eastAsia"/>
          <w:color w:val="222222"/>
          <w:kern w:val="0"/>
          <w:sz w:val="32"/>
          <w:szCs w:val="32"/>
        </w:rPr>
        <w:t>6</w:t>
      </w:r>
      <w:r w:rsidR="008E47C8" w:rsidRPr="0063032F">
        <w:rPr>
          <w:rFonts w:ascii="仿宋" w:eastAsia="仿宋" w:hAnsi="仿宋" w:hint="eastAsia"/>
          <w:color w:val="222222"/>
          <w:kern w:val="0"/>
          <w:sz w:val="32"/>
          <w:szCs w:val="32"/>
        </w:rPr>
        <w:t>人。</w:t>
      </w:r>
    </w:p>
    <w:p w:rsidR="00160267" w:rsidRDefault="00160267" w:rsidP="000308E1">
      <w:pPr>
        <w:widowControl/>
        <w:spacing w:line="600" w:lineRule="atLeast"/>
        <w:ind w:firstLine="640"/>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（二）</w:t>
      </w:r>
      <w:r w:rsidRPr="00DE04EC">
        <w:rPr>
          <w:rFonts w:ascii="Times New Roman" w:eastAsia="楷体_GB2312" w:hAnsi="Times New Roman"/>
          <w:color w:val="222222"/>
          <w:kern w:val="0"/>
          <w:sz w:val="32"/>
          <w:szCs w:val="32"/>
        </w:rPr>
        <w:t xml:space="preserve"> </w:t>
      </w:r>
      <w:r w:rsidRPr="00DE04EC">
        <w:rPr>
          <w:rFonts w:ascii="Times New Roman" w:eastAsia="楷体_GB2312" w:hAnsi="Times New Roman"/>
          <w:color w:val="222222"/>
          <w:kern w:val="0"/>
          <w:sz w:val="32"/>
          <w:szCs w:val="32"/>
        </w:rPr>
        <w:t>单位主要职责</w:t>
      </w:r>
    </w:p>
    <w:p w:rsidR="00331547" w:rsidRDefault="00331547" w:rsidP="000308E1">
      <w:pPr>
        <w:widowControl/>
        <w:spacing w:line="600" w:lineRule="atLeast"/>
        <w:ind w:firstLine="640"/>
        <w:rPr>
          <w:rFonts w:ascii="仿宋" w:eastAsia="仿宋" w:hAnsi="仿宋"/>
          <w:color w:val="222222"/>
          <w:kern w:val="0"/>
          <w:sz w:val="32"/>
          <w:szCs w:val="32"/>
        </w:rPr>
      </w:pPr>
      <w:r>
        <w:rPr>
          <w:rFonts w:ascii="仿宋" w:eastAsia="仿宋" w:hAnsi="仿宋" w:hint="eastAsia"/>
          <w:color w:val="222222"/>
          <w:kern w:val="0"/>
          <w:sz w:val="32"/>
          <w:szCs w:val="32"/>
        </w:rPr>
        <w:t>我单位是提供社会保险服务的机构，主要职责体现在以下方面：</w:t>
      </w:r>
    </w:p>
    <w:p w:rsidR="00331547" w:rsidRDefault="00331547" w:rsidP="000308E1">
      <w:pPr>
        <w:widowControl/>
        <w:spacing w:line="600" w:lineRule="atLeast"/>
        <w:ind w:firstLine="640"/>
        <w:rPr>
          <w:rFonts w:ascii="仿宋" w:eastAsia="仿宋" w:hAnsi="仿宋"/>
          <w:kern w:val="0"/>
          <w:sz w:val="32"/>
          <w:szCs w:val="32"/>
        </w:rPr>
      </w:pPr>
      <w:r w:rsidRPr="001603D1">
        <w:rPr>
          <w:rFonts w:ascii="Times New Roman" w:eastAsia="仿宋" w:hAnsi="Times New Roman"/>
          <w:color w:val="222222"/>
          <w:kern w:val="0"/>
          <w:sz w:val="32"/>
          <w:szCs w:val="32"/>
        </w:rPr>
        <w:t>1</w:t>
      </w:r>
      <w:r w:rsidR="000308E1" w:rsidRPr="001603D1">
        <w:rPr>
          <w:rFonts w:ascii="Times New Roman" w:eastAsia="仿宋" w:hAnsi="Times New Roman"/>
          <w:color w:val="222222"/>
          <w:kern w:val="0"/>
          <w:sz w:val="32"/>
          <w:szCs w:val="32"/>
        </w:rPr>
        <w:t>.</w:t>
      </w:r>
      <w:r w:rsidR="000308E1">
        <w:rPr>
          <w:rFonts w:ascii="仿宋" w:eastAsia="仿宋" w:hAnsi="仿宋" w:hint="eastAsia"/>
          <w:color w:val="222222"/>
          <w:kern w:val="0"/>
          <w:sz w:val="32"/>
          <w:szCs w:val="32"/>
        </w:rPr>
        <w:t xml:space="preserve"> </w:t>
      </w:r>
      <w:r w:rsidRPr="00331547">
        <w:rPr>
          <w:rFonts w:ascii="仿宋" w:eastAsia="仿宋" w:hAnsi="仿宋" w:hint="eastAsia"/>
          <w:kern w:val="0"/>
          <w:sz w:val="32"/>
          <w:szCs w:val="32"/>
        </w:rPr>
        <w:t>负责全县机关事业单位养老保险基金和职业年金地筹集和管理。</w:t>
      </w:r>
    </w:p>
    <w:p w:rsidR="00331547" w:rsidRDefault="00331547" w:rsidP="000308E1">
      <w:pPr>
        <w:widowControl/>
        <w:spacing w:line="600" w:lineRule="atLeast"/>
        <w:ind w:firstLine="640"/>
        <w:rPr>
          <w:rFonts w:ascii="仿宋" w:eastAsia="仿宋" w:hAnsi="仿宋"/>
          <w:kern w:val="0"/>
          <w:sz w:val="32"/>
          <w:szCs w:val="32"/>
        </w:rPr>
      </w:pPr>
      <w:r w:rsidRPr="001603D1">
        <w:rPr>
          <w:rFonts w:ascii="Times New Roman" w:eastAsia="仿宋" w:hAnsi="Times New Roman"/>
          <w:kern w:val="0"/>
          <w:sz w:val="32"/>
          <w:szCs w:val="32"/>
        </w:rPr>
        <w:t>2</w:t>
      </w:r>
      <w:r w:rsidR="000308E1" w:rsidRPr="001603D1">
        <w:rPr>
          <w:rFonts w:ascii="Times New Roman" w:eastAsia="仿宋" w:hAnsi="Times New Roman"/>
          <w:kern w:val="0"/>
          <w:sz w:val="32"/>
          <w:szCs w:val="32"/>
        </w:rPr>
        <w:t>.</w:t>
      </w:r>
      <w:r w:rsidR="000308E1">
        <w:rPr>
          <w:rFonts w:ascii="仿宋" w:eastAsia="仿宋" w:hAnsi="仿宋" w:hint="eastAsia"/>
          <w:kern w:val="0"/>
          <w:sz w:val="32"/>
          <w:szCs w:val="32"/>
        </w:rPr>
        <w:t xml:space="preserve"> </w:t>
      </w:r>
      <w:r w:rsidRPr="00331547">
        <w:rPr>
          <w:rFonts w:ascii="仿宋" w:eastAsia="仿宋" w:hAnsi="仿宋" w:hint="eastAsia"/>
          <w:kern w:val="0"/>
          <w:sz w:val="32"/>
          <w:szCs w:val="32"/>
        </w:rPr>
        <w:t>负责全县行政事业单位退休人员</w:t>
      </w:r>
      <w:r w:rsidR="00F25ACD">
        <w:rPr>
          <w:rFonts w:ascii="仿宋" w:eastAsia="仿宋" w:hAnsi="仿宋" w:hint="eastAsia"/>
          <w:kern w:val="0"/>
          <w:sz w:val="32"/>
          <w:szCs w:val="32"/>
        </w:rPr>
        <w:t>退休金</w:t>
      </w:r>
      <w:r w:rsidRPr="00331547">
        <w:rPr>
          <w:rFonts w:ascii="仿宋" w:eastAsia="仿宋" w:hAnsi="仿宋" w:hint="eastAsia"/>
          <w:kern w:val="0"/>
          <w:sz w:val="32"/>
          <w:szCs w:val="32"/>
        </w:rPr>
        <w:t>地发放。</w:t>
      </w:r>
    </w:p>
    <w:p w:rsidR="00331547" w:rsidRDefault="00331547" w:rsidP="000308E1">
      <w:pPr>
        <w:widowControl/>
        <w:spacing w:line="600" w:lineRule="atLeast"/>
        <w:ind w:firstLine="640"/>
        <w:rPr>
          <w:rFonts w:ascii="仿宋" w:eastAsia="仿宋" w:hAnsi="仿宋"/>
          <w:kern w:val="0"/>
          <w:sz w:val="32"/>
          <w:szCs w:val="32"/>
        </w:rPr>
      </w:pPr>
      <w:r w:rsidRPr="001603D1">
        <w:rPr>
          <w:rFonts w:ascii="Times New Roman" w:eastAsia="仿宋" w:hAnsi="Times New Roman"/>
          <w:kern w:val="0"/>
          <w:sz w:val="32"/>
          <w:szCs w:val="32"/>
        </w:rPr>
        <w:t>3</w:t>
      </w:r>
      <w:r w:rsidR="000308E1" w:rsidRPr="001603D1">
        <w:rPr>
          <w:rFonts w:ascii="Times New Roman" w:eastAsia="仿宋" w:hAnsi="Times New Roman"/>
          <w:kern w:val="0"/>
          <w:sz w:val="32"/>
          <w:szCs w:val="32"/>
        </w:rPr>
        <w:t>.</w:t>
      </w:r>
      <w:r w:rsidR="000308E1">
        <w:rPr>
          <w:rFonts w:ascii="仿宋" w:eastAsia="仿宋" w:hAnsi="仿宋" w:hint="eastAsia"/>
          <w:kern w:val="0"/>
          <w:sz w:val="32"/>
          <w:szCs w:val="32"/>
        </w:rPr>
        <w:t xml:space="preserve"> </w:t>
      </w:r>
      <w:r w:rsidR="00F25ACD">
        <w:rPr>
          <w:rFonts w:ascii="仿宋" w:eastAsia="仿宋" w:hAnsi="仿宋" w:hint="eastAsia"/>
          <w:kern w:val="0"/>
          <w:sz w:val="32"/>
          <w:szCs w:val="32"/>
        </w:rPr>
        <w:t>负责在职</w:t>
      </w:r>
      <w:r w:rsidRPr="00331547">
        <w:rPr>
          <w:rFonts w:ascii="仿宋" w:eastAsia="仿宋" w:hAnsi="仿宋" w:hint="eastAsia"/>
          <w:kern w:val="0"/>
          <w:sz w:val="32"/>
          <w:szCs w:val="32"/>
        </w:rPr>
        <w:t>参保人员养老保险关系转移。</w:t>
      </w:r>
    </w:p>
    <w:p w:rsidR="00331547" w:rsidRPr="00331547" w:rsidRDefault="00331547" w:rsidP="000308E1">
      <w:pPr>
        <w:widowControl/>
        <w:spacing w:line="600" w:lineRule="atLeast"/>
        <w:ind w:firstLine="640"/>
        <w:rPr>
          <w:rFonts w:ascii="仿宋" w:eastAsia="仿宋" w:hAnsi="仿宋"/>
          <w:color w:val="222222"/>
          <w:kern w:val="0"/>
          <w:sz w:val="32"/>
          <w:szCs w:val="32"/>
        </w:rPr>
      </w:pPr>
      <w:r w:rsidRPr="001603D1">
        <w:rPr>
          <w:rFonts w:ascii="Times New Roman" w:eastAsia="仿宋" w:hAnsi="Times New Roman"/>
          <w:kern w:val="0"/>
          <w:sz w:val="32"/>
          <w:szCs w:val="32"/>
        </w:rPr>
        <w:lastRenderedPageBreak/>
        <w:t>4</w:t>
      </w:r>
      <w:r w:rsidR="000308E1" w:rsidRPr="001603D1">
        <w:rPr>
          <w:rFonts w:ascii="Times New Roman" w:eastAsia="仿宋" w:hAnsi="Times New Roman"/>
          <w:kern w:val="0"/>
          <w:sz w:val="32"/>
          <w:szCs w:val="32"/>
        </w:rPr>
        <w:t>.</w:t>
      </w:r>
      <w:r w:rsidR="000308E1">
        <w:rPr>
          <w:rFonts w:ascii="仿宋" w:eastAsia="仿宋" w:hAnsi="仿宋" w:hint="eastAsia"/>
          <w:kern w:val="0"/>
          <w:sz w:val="32"/>
          <w:szCs w:val="32"/>
        </w:rPr>
        <w:t xml:space="preserve"> </w:t>
      </w:r>
      <w:r w:rsidRPr="00331547">
        <w:rPr>
          <w:rFonts w:ascii="仿宋" w:eastAsia="仿宋" w:hAnsi="仿宋" w:hint="eastAsia"/>
          <w:kern w:val="0"/>
          <w:sz w:val="32"/>
          <w:szCs w:val="32"/>
        </w:rPr>
        <w:t>对全县行政事业单位退休人员领取养老金的资格进行认证。</w:t>
      </w:r>
    </w:p>
    <w:p w:rsidR="00E20D5A" w:rsidRPr="00DE04EC" w:rsidRDefault="006C5D54" w:rsidP="000308E1">
      <w:pPr>
        <w:widowControl/>
        <w:spacing w:line="600" w:lineRule="atLeast"/>
        <w:ind w:firstLine="640"/>
        <w:rPr>
          <w:rFonts w:ascii="Times New Roman" w:eastAsia="黑体" w:hAnsi="Times New Roman"/>
          <w:color w:val="222222"/>
          <w:kern w:val="0"/>
          <w:sz w:val="32"/>
          <w:szCs w:val="32"/>
        </w:rPr>
      </w:pPr>
      <w:r>
        <w:rPr>
          <w:rFonts w:ascii="Times New Roman" w:eastAsia="黑体" w:hAnsi="黑体" w:hint="eastAsia"/>
          <w:color w:val="222222"/>
          <w:kern w:val="0"/>
          <w:sz w:val="32"/>
          <w:szCs w:val="32"/>
        </w:rPr>
        <w:t>二</w:t>
      </w:r>
      <w:r w:rsidR="00E20D5A" w:rsidRPr="00DE04EC">
        <w:rPr>
          <w:rFonts w:ascii="Times New Roman" w:eastAsia="黑体" w:hAnsi="黑体"/>
          <w:color w:val="222222"/>
          <w:kern w:val="0"/>
          <w:sz w:val="32"/>
          <w:szCs w:val="32"/>
        </w:rPr>
        <w:t>、部门财务情况</w:t>
      </w:r>
    </w:p>
    <w:p w:rsidR="00160267" w:rsidRDefault="00160267" w:rsidP="0063032F">
      <w:pPr>
        <w:widowControl/>
        <w:spacing w:line="360" w:lineRule="auto"/>
        <w:ind w:firstLine="641"/>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w:t>
      </w:r>
      <w:r w:rsidR="00E20D5A" w:rsidRPr="00DE04EC">
        <w:rPr>
          <w:rFonts w:ascii="Times New Roman" w:eastAsia="楷体_GB2312" w:hAnsi="Times New Roman"/>
          <w:color w:val="222222"/>
          <w:kern w:val="0"/>
          <w:sz w:val="32"/>
          <w:szCs w:val="32"/>
        </w:rPr>
        <w:t>一</w:t>
      </w:r>
      <w:r w:rsidRPr="00DE04EC">
        <w:rPr>
          <w:rFonts w:ascii="Times New Roman" w:eastAsia="楷体_GB2312" w:hAnsi="Times New Roman"/>
          <w:color w:val="222222"/>
          <w:kern w:val="0"/>
          <w:sz w:val="32"/>
          <w:szCs w:val="32"/>
        </w:rPr>
        <w:t>）部门整体支出情况</w:t>
      </w:r>
    </w:p>
    <w:p w:rsidR="000A27DF" w:rsidRPr="0063032F" w:rsidRDefault="00913F44" w:rsidP="0063032F">
      <w:pPr>
        <w:snapToGrid w:val="0"/>
        <w:spacing w:line="360" w:lineRule="auto"/>
        <w:ind w:firstLineChars="200" w:firstLine="640"/>
        <w:rPr>
          <w:rFonts w:ascii="仿宋" w:eastAsia="仿宋" w:hAnsi="仿宋"/>
          <w:color w:val="222222"/>
          <w:kern w:val="0"/>
          <w:sz w:val="32"/>
          <w:szCs w:val="32"/>
        </w:rPr>
      </w:pPr>
      <w:r w:rsidRPr="0063032F">
        <w:rPr>
          <w:rFonts w:ascii="仿宋" w:eastAsia="仿宋" w:hAnsi="仿宋"/>
          <w:color w:val="222222"/>
          <w:kern w:val="0"/>
          <w:sz w:val="32"/>
          <w:szCs w:val="32"/>
        </w:rPr>
        <w:t>1</w:t>
      </w:r>
      <w:r w:rsidR="000308E1" w:rsidRPr="0063032F">
        <w:rPr>
          <w:rFonts w:ascii="仿宋" w:eastAsia="仿宋" w:hAnsi="仿宋"/>
          <w:color w:val="222222"/>
          <w:kern w:val="0"/>
          <w:sz w:val="32"/>
          <w:szCs w:val="32"/>
        </w:rPr>
        <w:t>.</w:t>
      </w:r>
      <w:r w:rsidR="000308E1">
        <w:rPr>
          <w:rFonts w:ascii="仿宋" w:eastAsia="仿宋" w:hAnsi="仿宋" w:hint="eastAsia"/>
          <w:color w:val="222222"/>
          <w:kern w:val="0"/>
          <w:sz w:val="32"/>
          <w:szCs w:val="32"/>
        </w:rPr>
        <w:t xml:space="preserve"> </w:t>
      </w:r>
      <w:r>
        <w:rPr>
          <w:rFonts w:ascii="仿宋" w:eastAsia="仿宋" w:hAnsi="仿宋" w:hint="eastAsia"/>
          <w:color w:val="222222"/>
          <w:kern w:val="0"/>
          <w:sz w:val="32"/>
          <w:szCs w:val="32"/>
        </w:rPr>
        <w:t>公共预算</w:t>
      </w:r>
      <w:r w:rsidR="002B1FB2">
        <w:rPr>
          <w:rFonts w:ascii="仿宋" w:eastAsia="仿宋" w:hAnsi="仿宋" w:hint="eastAsia"/>
          <w:color w:val="222222"/>
          <w:kern w:val="0"/>
          <w:sz w:val="32"/>
          <w:szCs w:val="32"/>
        </w:rPr>
        <w:t>财政拨款基本支出</w:t>
      </w:r>
      <w:r w:rsidR="00891274" w:rsidRPr="00254F16">
        <w:rPr>
          <w:rFonts w:ascii="仿宋" w:eastAsia="仿宋" w:hAnsi="仿宋"/>
          <w:color w:val="222222"/>
          <w:kern w:val="0"/>
          <w:sz w:val="32"/>
          <w:szCs w:val="32"/>
        </w:rPr>
        <w:t>34</w:t>
      </w:r>
      <w:r w:rsidR="00891274" w:rsidRPr="00254F16">
        <w:rPr>
          <w:rFonts w:ascii="仿宋" w:eastAsia="仿宋" w:hAnsi="仿宋" w:hint="eastAsia"/>
          <w:color w:val="222222"/>
          <w:kern w:val="0"/>
          <w:sz w:val="32"/>
          <w:szCs w:val="32"/>
        </w:rPr>
        <w:t>8.62</w:t>
      </w:r>
      <w:r w:rsidR="00B65A23">
        <w:rPr>
          <w:rFonts w:ascii="仿宋" w:eastAsia="仿宋" w:hAnsi="仿宋" w:hint="eastAsia"/>
          <w:color w:val="222222"/>
          <w:kern w:val="0"/>
          <w:sz w:val="32"/>
          <w:szCs w:val="32"/>
        </w:rPr>
        <w:t>万元，</w:t>
      </w:r>
      <w:r w:rsidR="0063032F" w:rsidRPr="0063032F">
        <w:rPr>
          <w:rFonts w:ascii="仿宋" w:eastAsia="仿宋" w:hAnsi="仿宋"/>
          <w:color w:val="222222"/>
          <w:kern w:val="0"/>
          <w:sz w:val="32"/>
          <w:szCs w:val="32"/>
        </w:rPr>
        <w:t xml:space="preserve"> 201</w:t>
      </w:r>
      <w:r w:rsidR="0063032F" w:rsidRPr="0063032F">
        <w:rPr>
          <w:rFonts w:ascii="仿宋" w:eastAsia="仿宋" w:hAnsi="仿宋" w:hint="eastAsia"/>
          <w:color w:val="222222"/>
          <w:kern w:val="0"/>
          <w:sz w:val="32"/>
          <w:szCs w:val="32"/>
        </w:rPr>
        <w:t>9年度预算总收入348.62万元，后调整为28562.78万元。调整原因是对机关事业单位养老保险基金的补助未纳入部门预算。其中社保经办机构361.96万元，事业单位医疗7.45万元，住房公积金14.96万元，对机关事业单位基本保险基金的补助28140.85万元，其他社会保障和就业支出14.88万元。机关事业单位基本养老保险缴费支出22.68万元。财政拨款支出28460.07万元，其中基本支出28444.39万元（人员经费28400.28万元，日常公用44.11万元），人员经费中对机关事业养老保险基金的补助为28140.85万元。</w:t>
      </w:r>
    </w:p>
    <w:p w:rsidR="00C93127" w:rsidRPr="000A27DF" w:rsidRDefault="00C93127" w:rsidP="0063032F">
      <w:pPr>
        <w:widowControl/>
        <w:spacing w:line="360" w:lineRule="auto"/>
        <w:ind w:firstLine="641"/>
        <w:rPr>
          <w:rFonts w:ascii="仿宋" w:eastAsia="仿宋" w:hAnsi="仿宋"/>
          <w:color w:val="222222"/>
          <w:kern w:val="0"/>
          <w:sz w:val="32"/>
          <w:szCs w:val="32"/>
        </w:rPr>
      </w:pPr>
      <w:r w:rsidRPr="001603D1">
        <w:rPr>
          <w:rFonts w:ascii="Times New Roman" w:eastAsia="仿宋" w:hAnsi="Times New Roman"/>
          <w:color w:val="222222"/>
          <w:kern w:val="0"/>
          <w:sz w:val="32"/>
          <w:szCs w:val="32"/>
        </w:rPr>
        <w:t>2</w:t>
      </w:r>
      <w:r w:rsidR="001603D1">
        <w:rPr>
          <w:rFonts w:ascii="Times New Roman" w:eastAsia="仿宋" w:hAnsi="Times New Roman" w:hint="eastAsia"/>
          <w:color w:val="222222"/>
          <w:kern w:val="0"/>
          <w:sz w:val="32"/>
          <w:szCs w:val="32"/>
        </w:rPr>
        <w:t xml:space="preserve">. </w:t>
      </w:r>
      <w:r>
        <w:rPr>
          <w:rFonts w:ascii="仿宋" w:eastAsia="仿宋" w:hAnsi="仿宋" w:hint="eastAsia"/>
          <w:color w:val="222222"/>
          <w:kern w:val="0"/>
          <w:sz w:val="32"/>
          <w:szCs w:val="32"/>
        </w:rPr>
        <w:t>公共预算财政拨款项目支出</w:t>
      </w:r>
      <w:r w:rsidR="0063032F">
        <w:rPr>
          <w:rFonts w:ascii="仿宋" w:eastAsia="仿宋" w:hAnsi="仿宋" w:hint="eastAsia"/>
          <w:color w:val="222222"/>
          <w:kern w:val="0"/>
          <w:sz w:val="32"/>
          <w:szCs w:val="32"/>
        </w:rPr>
        <w:t>15.72</w:t>
      </w:r>
      <w:r w:rsidR="00206D8D">
        <w:rPr>
          <w:rFonts w:ascii="仿宋" w:eastAsia="仿宋" w:hAnsi="仿宋" w:hint="eastAsia"/>
          <w:color w:val="222222"/>
          <w:kern w:val="0"/>
          <w:sz w:val="32"/>
          <w:szCs w:val="32"/>
        </w:rPr>
        <w:t>万元为</w:t>
      </w:r>
      <w:r w:rsidR="00FC3D3C">
        <w:rPr>
          <w:rFonts w:ascii="仿宋" w:eastAsia="仿宋" w:hAnsi="仿宋" w:hint="eastAsia"/>
          <w:color w:val="222222"/>
          <w:kern w:val="0"/>
          <w:sz w:val="32"/>
          <w:szCs w:val="32"/>
        </w:rPr>
        <w:t>建国前入伍老同志生活补助。</w:t>
      </w:r>
    </w:p>
    <w:p w:rsidR="00160267" w:rsidRDefault="00160267" w:rsidP="000308E1">
      <w:pPr>
        <w:widowControl/>
        <w:spacing w:line="600" w:lineRule="atLeast"/>
        <w:ind w:firstLine="640"/>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w:t>
      </w:r>
      <w:r w:rsidR="00E20D5A" w:rsidRPr="00DE04EC">
        <w:rPr>
          <w:rFonts w:ascii="Times New Roman" w:eastAsia="楷体_GB2312" w:hAnsi="Times New Roman"/>
          <w:color w:val="222222"/>
          <w:kern w:val="0"/>
          <w:sz w:val="32"/>
          <w:szCs w:val="32"/>
        </w:rPr>
        <w:t>二</w:t>
      </w:r>
      <w:r w:rsidRPr="00DE04EC">
        <w:rPr>
          <w:rFonts w:ascii="Times New Roman" w:eastAsia="楷体_GB2312" w:hAnsi="Times New Roman"/>
          <w:color w:val="222222"/>
          <w:kern w:val="0"/>
          <w:sz w:val="32"/>
          <w:szCs w:val="32"/>
        </w:rPr>
        <w:t>）部门预算收支决算情况</w:t>
      </w:r>
    </w:p>
    <w:p w:rsidR="0035015A" w:rsidRPr="00C369F4" w:rsidRDefault="0035015A" w:rsidP="0063032F">
      <w:pPr>
        <w:snapToGrid w:val="0"/>
        <w:spacing w:line="360" w:lineRule="auto"/>
        <w:ind w:firstLine="570"/>
        <w:rPr>
          <w:rFonts w:ascii="仿宋" w:eastAsia="仿宋" w:hAnsi="仿宋"/>
          <w:color w:val="222222"/>
          <w:kern w:val="0"/>
          <w:sz w:val="32"/>
          <w:szCs w:val="32"/>
        </w:rPr>
      </w:pPr>
      <w:r w:rsidRPr="00C369F4">
        <w:rPr>
          <w:rFonts w:ascii="仿宋" w:eastAsia="仿宋" w:hAnsi="仿宋"/>
          <w:color w:val="222222"/>
          <w:kern w:val="0"/>
          <w:sz w:val="32"/>
          <w:szCs w:val="32"/>
        </w:rPr>
        <w:t>1</w:t>
      </w:r>
      <w:r w:rsidR="000308E1" w:rsidRPr="00C369F4">
        <w:rPr>
          <w:rFonts w:ascii="仿宋" w:eastAsia="仿宋" w:hAnsi="仿宋"/>
          <w:color w:val="222222"/>
          <w:kern w:val="0"/>
          <w:sz w:val="32"/>
          <w:szCs w:val="32"/>
        </w:rPr>
        <w:t>.</w:t>
      </w:r>
      <w:r w:rsidR="000308E1" w:rsidRPr="00C369F4">
        <w:rPr>
          <w:rFonts w:ascii="仿宋" w:eastAsia="仿宋" w:hAnsi="仿宋" w:hint="eastAsia"/>
          <w:color w:val="222222"/>
          <w:kern w:val="0"/>
          <w:sz w:val="32"/>
          <w:szCs w:val="32"/>
        </w:rPr>
        <w:t xml:space="preserve"> </w:t>
      </w:r>
      <w:r w:rsidRPr="00C369F4">
        <w:rPr>
          <w:rFonts w:ascii="仿宋" w:eastAsia="仿宋" w:hAnsi="仿宋" w:hint="eastAsia"/>
          <w:color w:val="222222"/>
          <w:kern w:val="0"/>
          <w:sz w:val="32"/>
          <w:szCs w:val="32"/>
        </w:rPr>
        <w:t>年度收支决算情况。本单位</w:t>
      </w:r>
      <w:r w:rsidRPr="00C369F4">
        <w:rPr>
          <w:rFonts w:ascii="仿宋" w:eastAsia="仿宋" w:hAnsi="仿宋"/>
          <w:color w:val="222222"/>
          <w:kern w:val="0"/>
          <w:sz w:val="32"/>
          <w:szCs w:val="32"/>
        </w:rPr>
        <w:t>201</w:t>
      </w:r>
      <w:r w:rsidR="00254F16" w:rsidRPr="00C369F4">
        <w:rPr>
          <w:rFonts w:ascii="仿宋" w:eastAsia="仿宋" w:hAnsi="仿宋" w:hint="eastAsia"/>
          <w:color w:val="222222"/>
          <w:kern w:val="0"/>
          <w:sz w:val="32"/>
          <w:szCs w:val="32"/>
        </w:rPr>
        <w:t>9</w:t>
      </w:r>
      <w:r w:rsidRPr="00C369F4">
        <w:rPr>
          <w:rFonts w:ascii="仿宋" w:eastAsia="仿宋" w:hAnsi="仿宋" w:hint="eastAsia"/>
          <w:color w:val="222222"/>
          <w:kern w:val="0"/>
          <w:sz w:val="32"/>
          <w:szCs w:val="32"/>
        </w:rPr>
        <w:t>年度</w:t>
      </w:r>
      <w:r w:rsidR="0063032F" w:rsidRPr="00C369F4">
        <w:rPr>
          <w:rFonts w:ascii="仿宋" w:eastAsia="仿宋" w:hAnsi="仿宋" w:hint="eastAsia"/>
          <w:color w:val="222222"/>
          <w:kern w:val="0"/>
          <w:sz w:val="32"/>
          <w:szCs w:val="32"/>
        </w:rPr>
        <w:t>预算总收入348.62万元，全部为公共财政经费拨款。预算支出总支出348.62万元。比上年预算收入和支出增加47.45万元，增长16%。增长的主要原因是人员的增加和待遇调标。 预算调整28563万元，调整原因是对机关事业单位养老保险基金的补助未纳入</w:t>
      </w:r>
      <w:r w:rsidR="0063032F" w:rsidRPr="00C369F4">
        <w:rPr>
          <w:rFonts w:ascii="仿宋" w:eastAsia="仿宋" w:hAnsi="仿宋" w:hint="eastAsia"/>
          <w:color w:val="222222"/>
          <w:kern w:val="0"/>
          <w:sz w:val="32"/>
          <w:szCs w:val="32"/>
        </w:rPr>
        <w:lastRenderedPageBreak/>
        <w:t>部门预算。</w:t>
      </w:r>
    </w:p>
    <w:p w:rsidR="00C93127" w:rsidRDefault="00C93127" w:rsidP="00C369F4">
      <w:pPr>
        <w:snapToGrid w:val="0"/>
        <w:spacing w:line="360" w:lineRule="auto"/>
        <w:ind w:firstLineChars="200" w:firstLine="640"/>
        <w:rPr>
          <w:rFonts w:ascii="仿宋" w:eastAsia="仿宋" w:hAnsi="仿宋" w:hint="eastAsia"/>
          <w:color w:val="222222"/>
          <w:kern w:val="0"/>
          <w:sz w:val="32"/>
          <w:szCs w:val="32"/>
        </w:rPr>
      </w:pPr>
      <w:r w:rsidRPr="00C369F4">
        <w:rPr>
          <w:rFonts w:ascii="仿宋" w:eastAsia="仿宋" w:hAnsi="仿宋"/>
          <w:color w:val="222222"/>
          <w:kern w:val="0"/>
          <w:sz w:val="32"/>
          <w:szCs w:val="32"/>
        </w:rPr>
        <w:t>2</w:t>
      </w:r>
      <w:r w:rsidR="000308E1" w:rsidRPr="00C369F4">
        <w:rPr>
          <w:rFonts w:ascii="仿宋" w:eastAsia="仿宋" w:hAnsi="仿宋"/>
          <w:color w:val="222222"/>
          <w:kern w:val="0"/>
          <w:sz w:val="32"/>
          <w:szCs w:val="32"/>
        </w:rPr>
        <w:t>.</w:t>
      </w:r>
      <w:r w:rsidR="000308E1">
        <w:rPr>
          <w:rFonts w:ascii="仿宋" w:eastAsia="仿宋" w:hAnsi="仿宋" w:hint="eastAsia"/>
          <w:color w:val="222222"/>
          <w:kern w:val="0"/>
          <w:sz w:val="32"/>
          <w:szCs w:val="32"/>
        </w:rPr>
        <w:t xml:space="preserve"> </w:t>
      </w:r>
      <w:r w:rsidR="00C369F4" w:rsidRPr="00C369F4">
        <w:rPr>
          <w:rFonts w:ascii="仿宋" w:eastAsia="仿宋" w:hAnsi="仿宋" w:hint="eastAsia"/>
          <w:color w:val="222222"/>
          <w:kern w:val="0"/>
          <w:sz w:val="32"/>
          <w:szCs w:val="32"/>
        </w:rPr>
        <w:t>收入支出预算执行情况</w:t>
      </w:r>
      <w:r w:rsidRPr="00C369F4">
        <w:rPr>
          <w:rFonts w:ascii="仿宋" w:eastAsia="仿宋" w:hAnsi="仿宋" w:hint="eastAsia"/>
          <w:color w:val="222222"/>
          <w:kern w:val="0"/>
          <w:sz w:val="32"/>
          <w:szCs w:val="32"/>
        </w:rPr>
        <w:t>。</w:t>
      </w:r>
      <w:r w:rsidR="00C369F4" w:rsidRPr="00C369F4">
        <w:rPr>
          <w:rFonts w:ascii="仿宋" w:eastAsia="仿宋" w:hAnsi="仿宋" w:hint="eastAsia"/>
          <w:color w:val="222222"/>
          <w:kern w:val="0"/>
          <w:sz w:val="32"/>
          <w:szCs w:val="32"/>
        </w:rPr>
        <w:t>2019年实际完成总收入28563万元，总支出28460万元。收入比上年度增加2166万元。支出比上年度增加2099</w:t>
      </w:r>
      <w:r w:rsidR="00C369F4">
        <w:rPr>
          <w:rFonts w:ascii="仿宋" w:eastAsia="仿宋" w:hAnsi="仿宋" w:hint="eastAsia"/>
          <w:color w:val="222222"/>
          <w:kern w:val="0"/>
          <w:sz w:val="32"/>
          <w:szCs w:val="32"/>
        </w:rPr>
        <w:t>万元。原因是退休人员增加，</w:t>
      </w:r>
      <w:r w:rsidR="00C369F4" w:rsidRPr="00C369F4">
        <w:rPr>
          <w:rFonts w:ascii="仿宋" w:eastAsia="仿宋" w:hAnsi="仿宋" w:hint="eastAsia"/>
          <w:color w:val="222222"/>
          <w:kern w:val="0"/>
          <w:sz w:val="32"/>
          <w:szCs w:val="32"/>
        </w:rPr>
        <w:t>待遇调标，增加了对机关事业单位养老保险基金的补助。</w:t>
      </w:r>
    </w:p>
    <w:p w:rsidR="00C369F4" w:rsidRPr="00C369F4" w:rsidRDefault="00C369F4" w:rsidP="00C369F4">
      <w:pPr>
        <w:snapToGrid w:val="0"/>
        <w:spacing w:line="360" w:lineRule="auto"/>
        <w:ind w:firstLineChars="200" w:firstLine="640"/>
        <w:rPr>
          <w:rFonts w:ascii="仿宋" w:eastAsia="仿宋" w:hAnsi="仿宋"/>
          <w:color w:val="222222"/>
          <w:kern w:val="0"/>
          <w:sz w:val="32"/>
          <w:szCs w:val="32"/>
        </w:rPr>
      </w:pPr>
      <w:r w:rsidRPr="00C369F4">
        <w:rPr>
          <w:rFonts w:ascii="仿宋" w:eastAsia="仿宋" w:hAnsi="仿宋" w:hint="eastAsia"/>
          <w:color w:val="222222"/>
          <w:kern w:val="0"/>
          <w:sz w:val="32"/>
          <w:szCs w:val="32"/>
        </w:rPr>
        <w:t>3.年未结转和结余情况。2019年基本支出结转139.9万元，项目支出结转0.24万元。</w:t>
      </w:r>
    </w:p>
    <w:p w:rsidR="00AD09F4" w:rsidRPr="00C369F4" w:rsidRDefault="00AD09F4" w:rsidP="000308E1">
      <w:pPr>
        <w:widowControl/>
        <w:spacing w:line="600" w:lineRule="atLeast"/>
        <w:ind w:firstLine="640"/>
        <w:rPr>
          <w:rFonts w:ascii="仿宋" w:eastAsia="仿宋" w:hAnsi="仿宋"/>
          <w:color w:val="222222"/>
          <w:kern w:val="0"/>
          <w:sz w:val="32"/>
          <w:szCs w:val="32"/>
        </w:rPr>
      </w:pPr>
      <w:r w:rsidRPr="00D740A8">
        <w:rPr>
          <w:rFonts w:ascii="Times New Roman" w:eastAsia="楷体_GB2312" w:hAnsi="Times New Roman" w:hint="eastAsia"/>
          <w:color w:val="222222"/>
          <w:kern w:val="0"/>
          <w:sz w:val="32"/>
          <w:szCs w:val="32"/>
        </w:rPr>
        <w:t>（三）</w:t>
      </w:r>
      <w:r w:rsidRPr="00D740A8">
        <w:rPr>
          <w:rFonts w:ascii="Times New Roman" w:eastAsia="楷体_GB2312" w:hAnsi="Times New Roman" w:hint="eastAsia"/>
          <w:color w:val="222222"/>
          <w:kern w:val="0"/>
          <w:sz w:val="32"/>
          <w:szCs w:val="32"/>
        </w:rPr>
        <w:t xml:space="preserve"> </w:t>
      </w:r>
      <w:r w:rsidRPr="00D740A8">
        <w:rPr>
          <w:rFonts w:ascii="Times New Roman" w:eastAsia="楷体_GB2312" w:hAnsi="Times New Roman" w:hint="eastAsia"/>
          <w:color w:val="222222"/>
          <w:kern w:val="0"/>
          <w:sz w:val="32"/>
          <w:szCs w:val="32"/>
        </w:rPr>
        <w:t>“三公经费”支出使用和管理情况</w:t>
      </w:r>
    </w:p>
    <w:p w:rsidR="00DD579B" w:rsidRPr="00DD579B" w:rsidRDefault="00DD579B" w:rsidP="0063032F">
      <w:pPr>
        <w:snapToGrid w:val="0"/>
        <w:spacing w:line="360" w:lineRule="auto"/>
        <w:ind w:firstLine="573"/>
        <w:rPr>
          <w:rFonts w:ascii="仿宋" w:eastAsia="仿宋" w:hAnsi="仿宋"/>
          <w:color w:val="222222"/>
          <w:kern w:val="0"/>
          <w:sz w:val="32"/>
          <w:szCs w:val="32"/>
        </w:rPr>
      </w:pPr>
      <w:r w:rsidRPr="0063032F">
        <w:rPr>
          <w:rFonts w:ascii="仿宋" w:eastAsia="仿宋" w:hAnsi="仿宋"/>
          <w:color w:val="222222"/>
          <w:kern w:val="0"/>
          <w:sz w:val="32"/>
          <w:szCs w:val="32"/>
        </w:rPr>
        <w:t>201</w:t>
      </w:r>
      <w:r w:rsidR="0063032F" w:rsidRPr="0063032F">
        <w:rPr>
          <w:rFonts w:ascii="仿宋" w:eastAsia="仿宋" w:hAnsi="仿宋" w:hint="eastAsia"/>
          <w:color w:val="222222"/>
          <w:kern w:val="0"/>
          <w:sz w:val="32"/>
          <w:szCs w:val="32"/>
        </w:rPr>
        <w:t>9</w:t>
      </w:r>
      <w:r>
        <w:rPr>
          <w:rFonts w:ascii="仿宋" w:eastAsia="仿宋" w:hAnsi="仿宋" w:hint="eastAsia"/>
          <w:color w:val="222222"/>
          <w:kern w:val="0"/>
          <w:sz w:val="32"/>
          <w:szCs w:val="32"/>
        </w:rPr>
        <w:t>年度公共预算财政拨款“三公”经费支出</w:t>
      </w:r>
      <w:r w:rsidR="0063032F" w:rsidRPr="0063032F">
        <w:rPr>
          <w:rFonts w:ascii="仿宋" w:eastAsia="仿宋" w:hAnsi="仿宋" w:hint="eastAsia"/>
          <w:color w:val="222222"/>
          <w:kern w:val="0"/>
          <w:sz w:val="32"/>
          <w:szCs w:val="32"/>
        </w:rPr>
        <w:t>3.69</w:t>
      </w:r>
      <w:r w:rsidR="003B6790">
        <w:rPr>
          <w:rFonts w:ascii="仿宋" w:eastAsia="仿宋" w:hAnsi="仿宋" w:hint="eastAsia"/>
          <w:color w:val="222222"/>
          <w:kern w:val="0"/>
          <w:sz w:val="32"/>
          <w:szCs w:val="32"/>
        </w:rPr>
        <w:t>万元。</w:t>
      </w:r>
      <w:r w:rsidR="0063032F" w:rsidRPr="0063032F">
        <w:rPr>
          <w:rFonts w:ascii="仿宋" w:eastAsia="仿宋" w:hAnsi="仿宋" w:hint="eastAsia"/>
          <w:color w:val="222222"/>
          <w:kern w:val="0"/>
          <w:sz w:val="32"/>
          <w:szCs w:val="32"/>
        </w:rPr>
        <w:t>与去年同期比较下降2.59万元。下降的原因是规范了接待范围和接待标准。</w:t>
      </w:r>
    </w:p>
    <w:p w:rsidR="00B85D54" w:rsidRPr="00DE04EC" w:rsidRDefault="004561C6" w:rsidP="000308E1">
      <w:pPr>
        <w:widowControl/>
        <w:spacing w:line="600" w:lineRule="atLeast"/>
        <w:ind w:firstLine="640"/>
        <w:rPr>
          <w:rFonts w:ascii="Times New Roman" w:eastAsia="黑体" w:hAnsi="Times New Roman"/>
          <w:color w:val="222222"/>
          <w:kern w:val="0"/>
          <w:sz w:val="32"/>
          <w:szCs w:val="32"/>
        </w:rPr>
      </w:pPr>
      <w:r w:rsidRPr="00DE04EC">
        <w:rPr>
          <w:rFonts w:ascii="Times New Roman" w:eastAsia="黑体" w:hAnsi="Times New Roman"/>
          <w:color w:val="222222"/>
          <w:kern w:val="0"/>
          <w:sz w:val="32"/>
          <w:szCs w:val="32"/>
        </w:rPr>
        <w:t>三、部门绩效目标</w:t>
      </w:r>
    </w:p>
    <w:p w:rsidR="004561C6" w:rsidRDefault="009943A8" w:rsidP="000308E1">
      <w:pPr>
        <w:widowControl/>
        <w:spacing w:line="600" w:lineRule="atLeast"/>
        <w:ind w:firstLine="640"/>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（一）部门绩效总目标</w:t>
      </w:r>
    </w:p>
    <w:p w:rsidR="00B9683E" w:rsidRPr="00B9683E" w:rsidRDefault="00A40728" w:rsidP="000308E1">
      <w:pPr>
        <w:widowControl/>
        <w:spacing w:line="600" w:lineRule="atLeast"/>
        <w:ind w:firstLine="640"/>
        <w:rPr>
          <w:rFonts w:ascii="仿宋" w:eastAsia="仿宋" w:hAnsi="仿宋"/>
          <w:color w:val="222222"/>
          <w:kern w:val="0"/>
          <w:sz w:val="32"/>
          <w:szCs w:val="32"/>
        </w:rPr>
      </w:pPr>
      <w:r>
        <w:rPr>
          <w:rFonts w:ascii="仿宋" w:eastAsia="仿宋" w:hAnsi="仿宋" w:hint="eastAsia"/>
          <w:color w:val="222222"/>
          <w:kern w:val="0"/>
          <w:sz w:val="32"/>
          <w:szCs w:val="32"/>
        </w:rPr>
        <w:t>完成</w:t>
      </w:r>
      <w:r w:rsidR="00AC3D49">
        <w:rPr>
          <w:rFonts w:ascii="仿宋" w:eastAsia="仿宋" w:hAnsi="仿宋" w:hint="eastAsia"/>
          <w:color w:val="222222"/>
          <w:kern w:val="0"/>
          <w:sz w:val="32"/>
          <w:szCs w:val="32"/>
        </w:rPr>
        <w:t>基金</w:t>
      </w:r>
      <w:r>
        <w:rPr>
          <w:rFonts w:ascii="仿宋" w:eastAsia="仿宋" w:hAnsi="仿宋" w:hint="eastAsia"/>
          <w:color w:val="222222"/>
          <w:kern w:val="0"/>
          <w:sz w:val="32"/>
          <w:szCs w:val="32"/>
        </w:rPr>
        <w:t>征缴</w:t>
      </w:r>
      <w:r w:rsidR="00AC3D49">
        <w:rPr>
          <w:rFonts w:ascii="仿宋" w:eastAsia="仿宋" w:hAnsi="仿宋" w:hint="eastAsia"/>
          <w:color w:val="222222"/>
          <w:kern w:val="0"/>
          <w:sz w:val="32"/>
          <w:szCs w:val="32"/>
        </w:rPr>
        <w:t>任务</w:t>
      </w:r>
      <w:r w:rsidR="001A5ADC">
        <w:rPr>
          <w:rFonts w:ascii="仿宋" w:eastAsia="仿宋" w:hAnsi="仿宋" w:hint="eastAsia"/>
          <w:color w:val="222222"/>
          <w:kern w:val="0"/>
          <w:sz w:val="32"/>
          <w:szCs w:val="32"/>
        </w:rPr>
        <w:t>，完成退休人员生存认证工作</w:t>
      </w:r>
      <w:r w:rsidR="00AC3D49">
        <w:rPr>
          <w:rFonts w:ascii="仿宋" w:eastAsia="仿宋" w:hAnsi="仿宋" w:hint="eastAsia"/>
          <w:color w:val="222222"/>
          <w:kern w:val="0"/>
          <w:sz w:val="32"/>
          <w:szCs w:val="32"/>
        </w:rPr>
        <w:t>。</w:t>
      </w:r>
    </w:p>
    <w:p w:rsidR="009943A8" w:rsidRDefault="00E774DF" w:rsidP="000308E1">
      <w:pPr>
        <w:widowControl/>
        <w:spacing w:line="600" w:lineRule="atLeast"/>
        <w:ind w:firstLine="640"/>
        <w:rPr>
          <w:rFonts w:ascii="Times New Roman" w:eastAsia="楷体_GB2312" w:hAnsi="Times New Roman"/>
          <w:color w:val="222222"/>
          <w:kern w:val="0"/>
          <w:sz w:val="32"/>
          <w:szCs w:val="32"/>
        </w:rPr>
      </w:pPr>
      <w:r w:rsidRPr="00DE04EC">
        <w:rPr>
          <w:rFonts w:ascii="Times New Roman" w:eastAsia="楷体_GB2312" w:hAnsi="Times New Roman"/>
          <w:color w:val="222222"/>
          <w:kern w:val="0"/>
          <w:sz w:val="32"/>
          <w:szCs w:val="32"/>
        </w:rPr>
        <w:t>（二）</w:t>
      </w:r>
      <w:r w:rsidR="00A219F9">
        <w:rPr>
          <w:rFonts w:ascii="Times New Roman" w:eastAsia="楷体_GB2312" w:hAnsi="Times New Roman" w:hint="eastAsia"/>
          <w:color w:val="222222"/>
          <w:kern w:val="0"/>
          <w:sz w:val="32"/>
          <w:szCs w:val="32"/>
        </w:rPr>
        <w:t>年度</w:t>
      </w:r>
      <w:r w:rsidRPr="00DE04EC">
        <w:rPr>
          <w:rFonts w:ascii="Times New Roman" w:eastAsia="楷体_GB2312" w:hAnsi="Times New Roman"/>
          <w:color w:val="222222"/>
          <w:kern w:val="0"/>
          <w:sz w:val="32"/>
          <w:szCs w:val="32"/>
        </w:rPr>
        <w:t>部门绩效目标</w:t>
      </w:r>
    </w:p>
    <w:p w:rsidR="00AC3D49" w:rsidRPr="00AC3D49" w:rsidRDefault="00AC3D49" w:rsidP="000308E1">
      <w:pPr>
        <w:widowControl/>
        <w:spacing w:line="600" w:lineRule="atLeast"/>
        <w:ind w:firstLine="640"/>
        <w:rPr>
          <w:rFonts w:ascii="仿宋" w:eastAsia="仿宋" w:hAnsi="仿宋"/>
          <w:color w:val="222222"/>
          <w:kern w:val="0"/>
          <w:sz w:val="32"/>
          <w:szCs w:val="32"/>
        </w:rPr>
      </w:pPr>
      <w:r w:rsidRPr="001603D1">
        <w:rPr>
          <w:rFonts w:ascii="Times New Roman" w:eastAsia="仿宋" w:hAnsi="Times New Roman"/>
          <w:color w:val="222222"/>
          <w:kern w:val="0"/>
          <w:sz w:val="32"/>
          <w:szCs w:val="32"/>
        </w:rPr>
        <w:t>201</w:t>
      </w:r>
      <w:r w:rsidR="00254F16">
        <w:rPr>
          <w:rFonts w:ascii="Times New Roman" w:eastAsia="仿宋" w:hAnsi="Times New Roman" w:hint="eastAsia"/>
          <w:color w:val="222222"/>
          <w:kern w:val="0"/>
          <w:sz w:val="32"/>
          <w:szCs w:val="32"/>
        </w:rPr>
        <w:t>9</w:t>
      </w:r>
      <w:r>
        <w:rPr>
          <w:rFonts w:ascii="仿宋" w:eastAsia="仿宋" w:hAnsi="仿宋" w:hint="eastAsia"/>
          <w:color w:val="222222"/>
          <w:kern w:val="0"/>
          <w:sz w:val="32"/>
          <w:szCs w:val="32"/>
        </w:rPr>
        <w:t>年</w:t>
      </w:r>
      <w:r w:rsidR="00A95DE6">
        <w:rPr>
          <w:rFonts w:ascii="仿宋" w:eastAsia="仿宋" w:hAnsi="仿宋" w:hint="eastAsia"/>
          <w:color w:val="222222"/>
          <w:kern w:val="0"/>
          <w:sz w:val="32"/>
          <w:szCs w:val="32"/>
        </w:rPr>
        <w:t>完成基金征缴任务，及时足额发放养老金。完成退休人员生存认证工作。</w:t>
      </w:r>
    </w:p>
    <w:p w:rsidR="006A373C" w:rsidRDefault="00592496" w:rsidP="000308E1">
      <w:pPr>
        <w:widowControl/>
        <w:spacing w:line="600" w:lineRule="atLeast"/>
        <w:ind w:firstLine="640"/>
        <w:rPr>
          <w:rFonts w:ascii="Times New Roman" w:eastAsia="黑体" w:hAnsi="Times New Roman"/>
          <w:color w:val="222222"/>
          <w:kern w:val="0"/>
          <w:sz w:val="32"/>
          <w:szCs w:val="32"/>
        </w:rPr>
      </w:pPr>
      <w:r w:rsidRPr="00DE04EC">
        <w:rPr>
          <w:rFonts w:ascii="Times New Roman" w:eastAsia="黑体" w:hAnsi="Times New Roman"/>
          <w:color w:val="222222"/>
          <w:kern w:val="0"/>
          <w:sz w:val="32"/>
          <w:szCs w:val="32"/>
        </w:rPr>
        <w:t>四</w:t>
      </w:r>
      <w:r w:rsidR="00160267" w:rsidRPr="00DE04EC">
        <w:rPr>
          <w:rFonts w:ascii="Times New Roman" w:eastAsia="黑体" w:hAnsi="Times New Roman"/>
          <w:color w:val="222222"/>
          <w:kern w:val="0"/>
          <w:sz w:val="32"/>
          <w:szCs w:val="32"/>
        </w:rPr>
        <w:t>、绩效评价工作情况</w:t>
      </w:r>
    </w:p>
    <w:p w:rsidR="00A95DE6" w:rsidRPr="00A95DE6" w:rsidRDefault="006A373C" w:rsidP="00653BEF">
      <w:pPr>
        <w:tabs>
          <w:tab w:val="left" w:pos="595"/>
        </w:tabs>
        <w:spacing w:line="600" w:lineRule="atLeast"/>
        <w:rPr>
          <w:rFonts w:ascii="仿宋" w:eastAsia="仿宋" w:hAnsi="仿宋"/>
          <w:color w:val="222222"/>
          <w:kern w:val="0"/>
          <w:sz w:val="32"/>
          <w:szCs w:val="32"/>
        </w:rPr>
      </w:pPr>
      <w:r>
        <w:rPr>
          <w:rFonts w:ascii="Times New Roman" w:eastAsia="黑体" w:hAnsi="Times New Roman"/>
          <w:sz w:val="32"/>
          <w:szCs w:val="32"/>
        </w:rPr>
        <w:tab/>
      </w:r>
      <w:r w:rsidR="00A95DE6">
        <w:rPr>
          <w:rFonts w:ascii="仿宋" w:eastAsia="仿宋" w:hAnsi="仿宋" w:hint="eastAsia"/>
          <w:color w:val="222222"/>
          <w:kern w:val="0"/>
          <w:sz w:val="32"/>
          <w:szCs w:val="32"/>
        </w:rPr>
        <w:t>在评价过程中，结合我单位的实际情况，实施了包括收集资料、发放问卷调查等形式，进行了各项评价。</w:t>
      </w:r>
    </w:p>
    <w:p w:rsidR="005C778B" w:rsidRDefault="00592496" w:rsidP="000308E1">
      <w:pPr>
        <w:widowControl/>
        <w:spacing w:line="600" w:lineRule="atLeast"/>
        <w:ind w:firstLine="640"/>
        <w:rPr>
          <w:rFonts w:ascii="Times New Roman" w:eastAsia="黑体" w:hAnsi="Times New Roman"/>
          <w:color w:val="000000"/>
          <w:sz w:val="32"/>
          <w:szCs w:val="32"/>
        </w:rPr>
      </w:pPr>
      <w:r w:rsidRPr="00DE04EC">
        <w:rPr>
          <w:rFonts w:ascii="Times New Roman" w:eastAsia="黑体" w:hAnsi="Times New Roman"/>
          <w:color w:val="000000"/>
          <w:sz w:val="32"/>
          <w:szCs w:val="32"/>
        </w:rPr>
        <w:t>五</w:t>
      </w:r>
      <w:r w:rsidR="00160267" w:rsidRPr="00DE04EC">
        <w:rPr>
          <w:rFonts w:ascii="Times New Roman" w:eastAsia="黑体" w:hAnsi="Times New Roman"/>
          <w:color w:val="000000"/>
          <w:sz w:val="32"/>
          <w:szCs w:val="32"/>
        </w:rPr>
        <w:t>、综合评价结果</w:t>
      </w:r>
    </w:p>
    <w:p w:rsidR="00A95DE6" w:rsidRPr="00A95DE6" w:rsidRDefault="001603D1" w:rsidP="000308E1">
      <w:pPr>
        <w:widowControl/>
        <w:spacing w:line="600" w:lineRule="atLeast"/>
        <w:ind w:firstLine="640"/>
        <w:rPr>
          <w:rFonts w:ascii="仿宋" w:eastAsia="仿宋" w:hAnsi="仿宋"/>
          <w:color w:val="000000"/>
          <w:sz w:val="32"/>
          <w:szCs w:val="32"/>
        </w:rPr>
      </w:pPr>
      <w:r>
        <w:rPr>
          <w:rFonts w:ascii="仿宋" w:eastAsia="仿宋" w:hAnsi="仿宋" w:hint="eastAsia"/>
          <w:color w:val="000000"/>
          <w:sz w:val="32"/>
          <w:szCs w:val="32"/>
        </w:rPr>
        <w:lastRenderedPageBreak/>
        <w:t>经综合考评。</w:t>
      </w:r>
      <w:r w:rsidR="002F2F86" w:rsidRPr="001603D1">
        <w:rPr>
          <w:rFonts w:ascii="Times New Roman" w:eastAsia="仿宋" w:hAnsi="Times New Roman"/>
          <w:color w:val="000000"/>
          <w:sz w:val="32"/>
          <w:szCs w:val="32"/>
        </w:rPr>
        <w:t>201</w:t>
      </w:r>
      <w:r w:rsidR="00254F16">
        <w:rPr>
          <w:rFonts w:ascii="Times New Roman" w:eastAsia="仿宋" w:hAnsi="Times New Roman" w:hint="eastAsia"/>
          <w:color w:val="000000"/>
          <w:sz w:val="32"/>
          <w:szCs w:val="32"/>
        </w:rPr>
        <w:t>9</w:t>
      </w:r>
      <w:r w:rsidR="002F2F86">
        <w:rPr>
          <w:rFonts w:ascii="仿宋" w:eastAsia="仿宋" w:hAnsi="仿宋" w:hint="eastAsia"/>
          <w:color w:val="000000"/>
          <w:sz w:val="32"/>
          <w:szCs w:val="32"/>
        </w:rPr>
        <w:t>年我单位整体支出总体绩效评价</w:t>
      </w:r>
      <w:r w:rsidR="002F2F86" w:rsidRPr="001603D1">
        <w:rPr>
          <w:rFonts w:ascii="Times New Roman" w:eastAsia="仿宋" w:hAnsi="Times New Roman"/>
          <w:color w:val="000000"/>
          <w:sz w:val="32"/>
          <w:szCs w:val="32"/>
        </w:rPr>
        <w:t>9</w:t>
      </w:r>
      <w:r w:rsidR="00EB7A12">
        <w:rPr>
          <w:rFonts w:ascii="Times New Roman" w:eastAsia="仿宋" w:hAnsi="Times New Roman" w:hint="eastAsia"/>
          <w:color w:val="000000"/>
          <w:sz w:val="32"/>
          <w:szCs w:val="32"/>
        </w:rPr>
        <w:t>5</w:t>
      </w:r>
      <w:r w:rsidR="002F2F86">
        <w:rPr>
          <w:rFonts w:ascii="仿宋" w:eastAsia="仿宋" w:hAnsi="仿宋" w:hint="eastAsia"/>
          <w:color w:val="000000"/>
          <w:sz w:val="32"/>
          <w:szCs w:val="32"/>
        </w:rPr>
        <w:t>分，评价等级为：优。</w:t>
      </w:r>
    </w:p>
    <w:p w:rsidR="005C778B" w:rsidRPr="000D1530" w:rsidRDefault="00592496" w:rsidP="000308E1">
      <w:pPr>
        <w:widowControl/>
        <w:spacing w:line="600" w:lineRule="atLeast"/>
        <w:ind w:firstLine="640"/>
        <w:rPr>
          <w:rFonts w:ascii="Times New Roman" w:eastAsia="黑体" w:hAnsi="Times New Roman"/>
          <w:color w:val="222222"/>
          <w:kern w:val="0"/>
          <w:sz w:val="32"/>
          <w:szCs w:val="32"/>
        </w:rPr>
      </w:pPr>
      <w:r w:rsidRPr="000D1530">
        <w:rPr>
          <w:rFonts w:ascii="Times New Roman" w:eastAsia="黑体" w:hAnsi="Times New Roman"/>
          <w:color w:val="222222"/>
          <w:kern w:val="0"/>
          <w:sz w:val="32"/>
          <w:szCs w:val="32"/>
        </w:rPr>
        <w:t>六</w:t>
      </w:r>
      <w:r w:rsidR="00160267" w:rsidRPr="000D1530">
        <w:rPr>
          <w:rFonts w:ascii="Times New Roman" w:eastAsia="黑体" w:hAnsi="Times New Roman"/>
          <w:color w:val="222222"/>
          <w:kern w:val="0"/>
          <w:sz w:val="32"/>
          <w:szCs w:val="32"/>
        </w:rPr>
        <w:t>、部门</w:t>
      </w:r>
      <w:r w:rsidR="00A15119" w:rsidRPr="000D1530">
        <w:rPr>
          <w:rFonts w:ascii="Times New Roman" w:eastAsia="黑体" w:hAnsi="Times New Roman" w:hint="eastAsia"/>
          <w:color w:val="222222"/>
          <w:kern w:val="0"/>
          <w:sz w:val="32"/>
          <w:szCs w:val="32"/>
        </w:rPr>
        <w:t>整体支出</w:t>
      </w:r>
      <w:r w:rsidR="00160267" w:rsidRPr="000D1530">
        <w:rPr>
          <w:rFonts w:ascii="Times New Roman" w:eastAsia="黑体" w:hAnsi="Times New Roman"/>
          <w:color w:val="222222"/>
          <w:kern w:val="0"/>
          <w:sz w:val="32"/>
          <w:szCs w:val="32"/>
        </w:rPr>
        <w:t>绩效</w:t>
      </w:r>
      <w:r w:rsidR="00A15119" w:rsidRPr="000D1530">
        <w:rPr>
          <w:rFonts w:ascii="Times New Roman" w:eastAsia="黑体" w:hAnsi="Times New Roman" w:hint="eastAsia"/>
          <w:color w:val="222222"/>
          <w:kern w:val="0"/>
          <w:sz w:val="32"/>
          <w:szCs w:val="32"/>
        </w:rPr>
        <w:t>情况</w:t>
      </w:r>
    </w:p>
    <w:p w:rsidR="00C028A0" w:rsidRDefault="00687F93" w:rsidP="00C369F4">
      <w:pPr>
        <w:spacing w:beforeLines="100" w:afterLines="50" w:line="600" w:lineRule="atLeast"/>
        <w:ind w:leftChars="50" w:left="105" w:firstLineChars="150" w:firstLine="480"/>
        <w:rPr>
          <w:rFonts w:ascii="仿宋" w:eastAsia="仿宋" w:hAnsi="仿宋"/>
          <w:sz w:val="32"/>
          <w:szCs w:val="32"/>
        </w:rPr>
      </w:pPr>
      <w:r>
        <w:rPr>
          <w:rFonts w:ascii="仿宋" w:eastAsia="仿宋" w:hAnsi="仿宋" w:hint="eastAsia"/>
          <w:sz w:val="32"/>
          <w:szCs w:val="32"/>
        </w:rPr>
        <w:t>１、</w:t>
      </w:r>
      <w:r w:rsidR="00C028A0" w:rsidRPr="000D1530">
        <w:rPr>
          <w:rFonts w:ascii="仿宋" w:eastAsia="仿宋" w:hAnsi="仿宋" w:hint="eastAsia"/>
          <w:sz w:val="32"/>
          <w:szCs w:val="32"/>
        </w:rPr>
        <w:t>在市处的正确领导下，单位领导的重视下，截止到</w:t>
      </w:r>
      <w:r w:rsidR="00C028A0" w:rsidRPr="000D1530">
        <w:rPr>
          <w:rFonts w:ascii="Times New Roman" w:eastAsia="仿宋" w:hAnsi="Times New Roman"/>
          <w:sz w:val="32"/>
          <w:szCs w:val="32"/>
        </w:rPr>
        <w:t>201</w:t>
      </w:r>
      <w:r w:rsidR="00254F16">
        <w:rPr>
          <w:rFonts w:ascii="Times New Roman" w:eastAsia="仿宋" w:hAnsi="Times New Roman" w:hint="eastAsia"/>
          <w:sz w:val="32"/>
          <w:szCs w:val="32"/>
        </w:rPr>
        <w:t>9</w:t>
      </w:r>
      <w:r w:rsidR="00C028A0" w:rsidRPr="000D1530">
        <w:rPr>
          <w:rFonts w:ascii="仿宋" w:eastAsia="仿宋" w:hAnsi="仿宋" w:hint="eastAsia"/>
          <w:sz w:val="32"/>
          <w:szCs w:val="32"/>
        </w:rPr>
        <w:t>年年底为止，我经办机构新系统中所有单位已全部启用并测算。</w:t>
      </w:r>
      <w:r>
        <w:rPr>
          <w:rFonts w:ascii="仿宋" w:eastAsia="仿宋" w:hAnsi="仿宋" w:hint="eastAsia"/>
          <w:sz w:val="32"/>
          <w:szCs w:val="32"/>
        </w:rPr>
        <w:t>所有单位人员均已计入社发。</w:t>
      </w:r>
    </w:p>
    <w:p w:rsidR="00687F93" w:rsidRDefault="00687F93" w:rsidP="00891274">
      <w:pPr>
        <w:spacing w:beforeLines="100" w:afterLines="50"/>
        <w:rPr>
          <w:rFonts w:ascii="仿宋" w:eastAsia="仿宋" w:hAnsi="仿宋"/>
          <w:spacing w:val="10"/>
          <w:sz w:val="32"/>
          <w:szCs w:val="32"/>
          <w:highlight w:val="yellow"/>
        </w:rPr>
      </w:pPr>
      <w:r>
        <w:rPr>
          <w:rFonts w:ascii="仿宋" w:eastAsia="仿宋" w:hAnsi="仿宋" w:hint="eastAsia"/>
          <w:sz w:val="32"/>
          <w:szCs w:val="32"/>
        </w:rPr>
        <w:t xml:space="preserve">　　</w:t>
      </w:r>
      <w:r w:rsidRPr="00C369F4">
        <w:rPr>
          <w:rFonts w:ascii="仿宋" w:eastAsia="仿宋" w:hAnsi="仿宋" w:hint="eastAsia"/>
          <w:spacing w:val="10"/>
          <w:sz w:val="32"/>
          <w:szCs w:val="32"/>
        </w:rPr>
        <w:t>2</w:t>
      </w:r>
      <w:r>
        <w:rPr>
          <w:rFonts w:ascii="仿宋" w:eastAsia="仿宋" w:hAnsi="仿宋" w:hint="eastAsia"/>
          <w:spacing w:val="10"/>
          <w:sz w:val="32"/>
          <w:szCs w:val="32"/>
        </w:rPr>
        <w:t>、</w:t>
      </w:r>
      <w:r w:rsidR="00C369F4" w:rsidRPr="00C369F4">
        <w:rPr>
          <w:rFonts w:ascii="仿宋" w:eastAsia="仿宋" w:hAnsi="仿宋" w:hint="eastAsia"/>
          <w:spacing w:val="10"/>
          <w:sz w:val="32"/>
          <w:szCs w:val="32"/>
        </w:rPr>
        <w:t>职业年金征缴</w:t>
      </w:r>
      <w:r>
        <w:rPr>
          <w:rFonts w:ascii="仿宋" w:eastAsia="仿宋" w:hAnsi="仿宋" w:hint="eastAsia"/>
          <w:spacing w:val="10"/>
          <w:sz w:val="32"/>
          <w:szCs w:val="32"/>
        </w:rPr>
        <w:t>工作稳步推进。</w:t>
      </w:r>
    </w:p>
    <w:p w:rsidR="00687F93" w:rsidRPr="00D57591" w:rsidRDefault="00687F93" w:rsidP="00D57591">
      <w:pPr>
        <w:spacing w:beforeLines="100" w:afterLines="50"/>
        <w:ind w:firstLine="680"/>
        <w:rPr>
          <w:rFonts w:ascii="仿宋" w:eastAsia="仿宋" w:hAnsi="仿宋" w:cs="仿宋"/>
          <w:sz w:val="32"/>
          <w:szCs w:val="32"/>
        </w:rPr>
      </w:pPr>
      <w:r>
        <w:rPr>
          <w:rFonts w:ascii="仿宋" w:eastAsia="仿宋" w:hAnsi="仿宋" w:hint="eastAsia"/>
          <w:spacing w:val="10"/>
          <w:sz w:val="32"/>
          <w:szCs w:val="32"/>
        </w:rPr>
        <w:t>3、</w:t>
      </w:r>
      <w:r w:rsidR="00C369F4">
        <w:rPr>
          <w:rFonts w:ascii="仿宋" w:eastAsia="仿宋" w:hAnsi="仿宋" w:hint="eastAsia"/>
          <w:spacing w:val="10"/>
          <w:sz w:val="32"/>
          <w:szCs w:val="32"/>
        </w:rPr>
        <w:t>创造</w:t>
      </w:r>
      <w:r w:rsidR="00C369F4" w:rsidRPr="00C369F4">
        <w:rPr>
          <w:rFonts w:ascii="仿宋" w:eastAsia="仿宋" w:hAnsi="仿宋" w:hint="eastAsia"/>
          <w:spacing w:val="10"/>
          <w:sz w:val="32"/>
          <w:szCs w:val="32"/>
        </w:rPr>
        <w:t>社会效益</w:t>
      </w:r>
      <w:r>
        <w:rPr>
          <w:rFonts w:ascii="仿宋" w:eastAsia="仿宋" w:hAnsi="仿宋" w:hint="eastAsia"/>
          <w:spacing w:val="10"/>
          <w:sz w:val="32"/>
          <w:szCs w:val="32"/>
        </w:rPr>
        <w:t>。</w:t>
      </w:r>
      <w:r w:rsidR="00C369F4" w:rsidRPr="00C369F4">
        <w:rPr>
          <w:rFonts w:ascii="仿宋" w:eastAsia="仿宋" w:hAnsi="仿宋" w:hint="eastAsia"/>
          <w:spacing w:val="10"/>
          <w:sz w:val="32"/>
          <w:szCs w:val="32"/>
        </w:rPr>
        <w:t>为参保对象提供优质服务，保障养老保险基金足额征缴；保障退休人员生活安定，促进社会和谐稳定。</w:t>
      </w:r>
    </w:p>
    <w:p w:rsidR="00160267" w:rsidRDefault="00592496" w:rsidP="000D1530">
      <w:pPr>
        <w:widowControl/>
        <w:spacing w:line="240" w:lineRule="atLeast"/>
        <w:ind w:firstLine="640"/>
        <w:rPr>
          <w:rFonts w:ascii="Times New Roman" w:eastAsia="黑体" w:hAnsi="Times New Roman"/>
          <w:color w:val="222222"/>
          <w:kern w:val="0"/>
          <w:sz w:val="32"/>
          <w:szCs w:val="32"/>
        </w:rPr>
      </w:pPr>
      <w:r w:rsidRPr="00DE04EC">
        <w:rPr>
          <w:rFonts w:ascii="Times New Roman" w:eastAsia="黑体" w:hAnsi="Times New Roman"/>
          <w:color w:val="222222"/>
          <w:kern w:val="0"/>
          <w:sz w:val="32"/>
          <w:szCs w:val="32"/>
        </w:rPr>
        <w:t>七</w:t>
      </w:r>
      <w:r w:rsidR="00160267" w:rsidRPr="00DE04EC">
        <w:rPr>
          <w:rFonts w:ascii="Times New Roman" w:eastAsia="黑体" w:hAnsi="Times New Roman"/>
          <w:color w:val="222222"/>
          <w:kern w:val="0"/>
          <w:sz w:val="32"/>
          <w:szCs w:val="32"/>
        </w:rPr>
        <w:t>、存在的</w:t>
      </w:r>
      <w:r w:rsidR="007F1ED1">
        <w:rPr>
          <w:rFonts w:ascii="Times New Roman" w:eastAsia="黑体" w:hAnsi="Times New Roman" w:hint="eastAsia"/>
          <w:color w:val="222222"/>
          <w:kern w:val="0"/>
          <w:sz w:val="32"/>
          <w:szCs w:val="32"/>
        </w:rPr>
        <w:t>主要</w:t>
      </w:r>
      <w:r w:rsidR="00160267" w:rsidRPr="00DE04EC">
        <w:rPr>
          <w:rFonts w:ascii="Times New Roman" w:eastAsia="黑体" w:hAnsi="Times New Roman"/>
          <w:color w:val="222222"/>
          <w:kern w:val="0"/>
          <w:sz w:val="32"/>
          <w:szCs w:val="32"/>
        </w:rPr>
        <w:t>问题</w:t>
      </w:r>
    </w:p>
    <w:p w:rsidR="00C52569" w:rsidRDefault="00C52569" w:rsidP="000D1530">
      <w:pPr>
        <w:widowControl/>
        <w:spacing w:before="300" w:after="100" w:afterAutospacing="1" w:line="240" w:lineRule="atLeast"/>
        <w:ind w:firstLineChars="200" w:firstLine="640"/>
        <w:jc w:val="left"/>
        <w:rPr>
          <w:rFonts w:ascii="仿宋" w:eastAsia="仿宋" w:hAnsi="仿宋" w:cs="宋体"/>
          <w:color w:val="010101"/>
          <w:kern w:val="0"/>
          <w:sz w:val="32"/>
          <w:szCs w:val="32"/>
        </w:rPr>
      </w:pPr>
      <w:r w:rsidRPr="00C52569">
        <w:rPr>
          <w:rFonts w:ascii="仿宋" w:eastAsia="仿宋" w:hAnsi="仿宋" w:cs="宋体" w:hint="eastAsia"/>
          <w:bCs/>
          <w:color w:val="010101"/>
          <w:kern w:val="0"/>
          <w:sz w:val="32"/>
          <w:szCs w:val="32"/>
        </w:rPr>
        <w:t>科学合理编制预算，严格执行预算</w:t>
      </w:r>
      <w:r w:rsidRPr="00C52569">
        <w:rPr>
          <w:rFonts w:ascii="仿宋" w:eastAsia="仿宋" w:hAnsi="仿宋" w:cs="宋体" w:hint="eastAsia"/>
          <w:color w:val="010101"/>
          <w:kern w:val="0"/>
          <w:sz w:val="32"/>
          <w:szCs w:val="32"/>
        </w:rPr>
        <w:t xml:space="preserve"> 。加强预算编制的前瞻性，结合上一年度预算执行情况和本年度预算收支变化因素，科学、合</w:t>
      </w:r>
      <w:r>
        <w:rPr>
          <w:rFonts w:ascii="仿宋" w:eastAsia="仿宋" w:hAnsi="仿宋" w:cs="宋体" w:hint="eastAsia"/>
          <w:color w:val="010101"/>
          <w:kern w:val="0"/>
          <w:sz w:val="32"/>
          <w:szCs w:val="32"/>
        </w:rPr>
        <w:t>理</w:t>
      </w:r>
      <w:r w:rsidRPr="00C52569">
        <w:rPr>
          <w:rFonts w:ascii="仿宋" w:eastAsia="仿宋" w:hAnsi="仿宋" w:cs="宋体" w:hint="eastAsia"/>
          <w:color w:val="010101"/>
          <w:kern w:val="0"/>
          <w:sz w:val="32"/>
          <w:szCs w:val="32"/>
        </w:rPr>
        <w:t>地编制本年预算草案。</w:t>
      </w:r>
    </w:p>
    <w:p w:rsidR="00160267" w:rsidRDefault="00592496" w:rsidP="000D1530">
      <w:pPr>
        <w:widowControl/>
        <w:spacing w:line="240" w:lineRule="atLeast"/>
        <w:ind w:firstLine="640"/>
        <w:rPr>
          <w:rFonts w:ascii="Times New Roman" w:eastAsia="黑体" w:hAnsi="Times New Roman"/>
          <w:color w:val="000000"/>
          <w:sz w:val="32"/>
          <w:szCs w:val="32"/>
        </w:rPr>
      </w:pPr>
      <w:r w:rsidRPr="00DE04EC">
        <w:rPr>
          <w:rFonts w:ascii="Times New Roman" w:eastAsia="黑体" w:hAnsi="Times New Roman"/>
          <w:color w:val="000000"/>
          <w:sz w:val="32"/>
          <w:szCs w:val="32"/>
        </w:rPr>
        <w:t>八、</w:t>
      </w:r>
      <w:r w:rsidR="0003456A" w:rsidRPr="00DE04EC">
        <w:rPr>
          <w:rFonts w:ascii="Times New Roman" w:eastAsia="黑体" w:hAnsi="Times New Roman"/>
          <w:color w:val="000000"/>
          <w:sz w:val="32"/>
          <w:szCs w:val="32"/>
        </w:rPr>
        <w:t>有</w:t>
      </w:r>
      <w:r w:rsidR="00160267" w:rsidRPr="00DE04EC">
        <w:rPr>
          <w:rFonts w:ascii="Times New Roman" w:eastAsia="黑体" w:hAnsi="Times New Roman"/>
          <w:color w:val="000000"/>
          <w:sz w:val="32"/>
          <w:szCs w:val="32"/>
        </w:rPr>
        <w:t>关建议</w:t>
      </w:r>
    </w:p>
    <w:p w:rsidR="00C52569" w:rsidRPr="00BF51A5" w:rsidRDefault="00C52569" w:rsidP="000D1530">
      <w:pPr>
        <w:widowControl/>
        <w:spacing w:before="300" w:after="100" w:afterAutospacing="1" w:line="240" w:lineRule="atLeast"/>
        <w:ind w:firstLineChars="200" w:firstLine="640"/>
        <w:jc w:val="left"/>
        <w:rPr>
          <w:rFonts w:ascii="仿宋" w:eastAsia="仿宋" w:hAnsi="仿宋" w:cs="宋体"/>
          <w:color w:val="010101"/>
          <w:kern w:val="0"/>
          <w:sz w:val="32"/>
          <w:szCs w:val="32"/>
        </w:rPr>
      </w:pPr>
      <w:r w:rsidRPr="00BF51A5">
        <w:rPr>
          <w:rFonts w:ascii="仿宋" w:eastAsia="仿宋" w:hAnsi="仿宋" w:cs="宋体" w:hint="eastAsia"/>
          <w:bCs/>
          <w:color w:val="010101"/>
          <w:kern w:val="0"/>
          <w:sz w:val="32"/>
          <w:szCs w:val="32"/>
        </w:rPr>
        <w:t>加强新事业单位会计制度和新预算法学习培训</w:t>
      </w:r>
      <w:r w:rsidRPr="00BF51A5">
        <w:rPr>
          <w:rFonts w:ascii="仿宋" w:eastAsia="仿宋" w:hAnsi="仿宋" w:cs="宋体" w:hint="eastAsia"/>
          <w:color w:val="010101"/>
          <w:kern w:val="0"/>
          <w:sz w:val="32"/>
          <w:szCs w:val="32"/>
        </w:rPr>
        <w:t xml:space="preserve"> 。加强新《预算法》、《事业单位会计制度》等学习培训，规范部门预算收支核算，一是制定和完善基本支出、项目支出等各项支出</w:t>
      </w:r>
      <w:r w:rsidRPr="00BF51A5">
        <w:rPr>
          <w:rFonts w:ascii="仿宋" w:eastAsia="仿宋" w:hAnsi="仿宋" w:cs="宋体" w:hint="eastAsia"/>
          <w:color w:val="010101"/>
          <w:kern w:val="0"/>
          <w:sz w:val="32"/>
          <w:szCs w:val="32"/>
        </w:rPr>
        <w:lastRenderedPageBreak/>
        <w:t>标准，严格按项目和进度执行预算，增强预算的约束力和严肃性。二是落实预算执行分析，及时了解预算执行差异，合理调整、纠正预算执行偏差，切实提高部门预算收支管理水平。</w:t>
      </w:r>
    </w:p>
    <w:p w:rsidR="007228BA" w:rsidRPr="00BF51A5" w:rsidRDefault="001C628A" w:rsidP="000D1530">
      <w:pPr>
        <w:widowControl/>
        <w:spacing w:before="300" w:after="100" w:afterAutospacing="1" w:line="240" w:lineRule="atLeast"/>
        <w:ind w:firstLineChars="250" w:firstLine="800"/>
        <w:jc w:val="left"/>
        <w:rPr>
          <w:rFonts w:ascii="仿宋" w:eastAsia="仿宋" w:hAnsi="仿宋" w:cs="宋体"/>
          <w:color w:val="010101"/>
          <w:kern w:val="0"/>
          <w:sz w:val="32"/>
          <w:szCs w:val="32"/>
        </w:rPr>
      </w:pPr>
      <w:r>
        <w:rPr>
          <w:rFonts w:ascii="仿宋" w:eastAsia="仿宋" w:hAnsi="仿宋" w:cs="宋体" w:hint="eastAsia"/>
          <w:color w:val="010101"/>
          <w:kern w:val="0"/>
          <w:sz w:val="32"/>
          <w:szCs w:val="32"/>
        </w:rPr>
        <w:t>附件一：部门整体支出绩效评价指标体系表</w:t>
      </w:r>
    </w:p>
    <w:p w:rsidR="007228BA" w:rsidRPr="00BF51A5" w:rsidRDefault="007228BA" w:rsidP="000D1530">
      <w:pPr>
        <w:widowControl/>
        <w:spacing w:before="300" w:after="100" w:afterAutospacing="1" w:line="240" w:lineRule="atLeast"/>
        <w:ind w:firstLineChars="250" w:firstLine="800"/>
        <w:jc w:val="left"/>
        <w:rPr>
          <w:rFonts w:ascii="仿宋" w:eastAsia="仿宋" w:hAnsi="仿宋" w:cs="宋体"/>
          <w:color w:val="010101"/>
          <w:kern w:val="0"/>
          <w:sz w:val="32"/>
          <w:szCs w:val="32"/>
        </w:rPr>
      </w:pPr>
      <w:r w:rsidRPr="00BF51A5">
        <w:rPr>
          <w:rFonts w:ascii="仿宋" w:eastAsia="仿宋" w:hAnsi="仿宋" w:cs="宋体" w:hint="eastAsia"/>
          <w:color w:val="010101"/>
          <w:kern w:val="0"/>
          <w:sz w:val="32"/>
          <w:szCs w:val="32"/>
        </w:rPr>
        <w:t xml:space="preserve">                    桃源县机关事业单位社会保险处</w:t>
      </w:r>
    </w:p>
    <w:p w:rsidR="007228BA" w:rsidRPr="00BF51A5" w:rsidRDefault="007228BA" w:rsidP="000D1530">
      <w:pPr>
        <w:widowControl/>
        <w:spacing w:before="300" w:after="100" w:afterAutospacing="1" w:line="240" w:lineRule="atLeast"/>
        <w:ind w:firstLineChars="250" w:firstLine="800"/>
        <w:jc w:val="left"/>
        <w:rPr>
          <w:rFonts w:ascii="仿宋" w:eastAsia="仿宋" w:hAnsi="仿宋" w:cs="宋体"/>
          <w:color w:val="010101"/>
          <w:kern w:val="0"/>
          <w:sz w:val="32"/>
          <w:szCs w:val="32"/>
        </w:rPr>
      </w:pPr>
      <w:r w:rsidRPr="00BF51A5">
        <w:rPr>
          <w:rFonts w:ascii="仿宋" w:eastAsia="仿宋" w:hAnsi="仿宋" w:cs="宋体" w:hint="eastAsia"/>
          <w:color w:val="010101"/>
          <w:kern w:val="0"/>
          <w:sz w:val="32"/>
          <w:szCs w:val="32"/>
        </w:rPr>
        <w:t xml:space="preserve">                         二0</w:t>
      </w:r>
      <w:r w:rsidR="00C369F4">
        <w:rPr>
          <w:rFonts w:ascii="仿宋" w:eastAsia="仿宋" w:hAnsi="仿宋" w:cs="宋体" w:hint="eastAsia"/>
          <w:color w:val="010101"/>
          <w:kern w:val="0"/>
          <w:sz w:val="32"/>
          <w:szCs w:val="32"/>
        </w:rPr>
        <w:t>二0</w:t>
      </w:r>
      <w:r w:rsidRPr="00BF51A5">
        <w:rPr>
          <w:rFonts w:ascii="仿宋" w:eastAsia="仿宋" w:hAnsi="仿宋" w:cs="宋体" w:hint="eastAsia"/>
          <w:color w:val="010101"/>
          <w:kern w:val="0"/>
          <w:sz w:val="32"/>
          <w:szCs w:val="32"/>
        </w:rPr>
        <w:t>年</w:t>
      </w:r>
      <w:r w:rsidR="007D3B87">
        <w:rPr>
          <w:rFonts w:ascii="仿宋" w:eastAsia="仿宋" w:hAnsi="仿宋" w:cs="宋体" w:hint="eastAsia"/>
          <w:color w:val="010101"/>
          <w:kern w:val="0"/>
          <w:sz w:val="32"/>
          <w:szCs w:val="32"/>
        </w:rPr>
        <w:t>十</w:t>
      </w:r>
      <w:r w:rsidRPr="00BF51A5">
        <w:rPr>
          <w:rFonts w:ascii="仿宋" w:eastAsia="仿宋" w:hAnsi="仿宋" w:cs="宋体" w:hint="eastAsia"/>
          <w:color w:val="010101"/>
          <w:kern w:val="0"/>
          <w:sz w:val="32"/>
          <w:szCs w:val="32"/>
        </w:rPr>
        <w:t>月</w:t>
      </w:r>
      <w:r w:rsidR="007D3B87">
        <w:rPr>
          <w:rFonts w:ascii="仿宋" w:eastAsia="仿宋" w:hAnsi="仿宋" w:cs="宋体" w:hint="eastAsia"/>
          <w:color w:val="010101"/>
          <w:kern w:val="0"/>
          <w:sz w:val="32"/>
          <w:szCs w:val="32"/>
        </w:rPr>
        <w:t>二</w:t>
      </w:r>
      <w:r w:rsidRPr="00BF51A5">
        <w:rPr>
          <w:rFonts w:ascii="仿宋" w:eastAsia="仿宋" w:hAnsi="仿宋" w:cs="宋体" w:hint="eastAsia"/>
          <w:color w:val="010101"/>
          <w:kern w:val="0"/>
          <w:sz w:val="32"/>
          <w:szCs w:val="32"/>
        </w:rPr>
        <w:t>十日</w:t>
      </w:r>
    </w:p>
    <w:p w:rsidR="00C52569" w:rsidRDefault="00C52569"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0D1530">
      <w:pPr>
        <w:widowControl/>
        <w:spacing w:line="240" w:lineRule="atLeast"/>
        <w:ind w:firstLine="640"/>
        <w:rPr>
          <w:rFonts w:ascii="Times New Roman" w:eastAsia="黑体" w:hAnsi="Times New Roman" w:hint="eastAsia"/>
          <w:color w:val="000000"/>
          <w:sz w:val="32"/>
          <w:szCs w:val="32"/>
        </w:rPr>
      </w:pPr>
    </w:p>
    <w:p w:rsidR="00D57591" w:rsidRDefault="00D57591" w:rsidP="00D57591">
      <w:pPr>
        <w:widowControl/>
        <w:jc w:val="left"/>
        <w:rPr>
          <w:rFonts w:ascii="宋体"/>
          <w:kern w:val="0"/>
          <w:sz w:val="28"/>
          <w:szCs w:val="28"/>
        </w:rPr>
      </w:pPr>
      <w:r>
        <w:rPr>
          <w:rFonts w:ascii="宋体" w:hAnsi="宋体" w:cs="宋体" w:hint="eastAsia"/>
          <w:kern w:val="0"/>
          <w:sz w:val="28"/>
          <w:szCs w:val="28"/>
        </w:rPr>
        <w:t>附件</w:t>
      </w:r>
      <w:r>
        <w:rPr>
          <w:rFonts w:ascii="宋体" w:hAnsi="宋体" w:cs="宋体"/>
          <w:kern w:val="0"/>
          <w:sz w:val="28"/>
          <w:szCs w:val="28"/>
        </w:rPr>
        <w:t>4</w:t>
      </w:r>
    </w:p>
    <w:p w:rsidR="00D57591" w:rsidRPr="00853425" w:rsidRDefault="00D57591" w:rsidP="00D57591">
      <w:pPr>
        <w:widowControl/>
        <w:jc w:val="center"/>
        <w:rPr>
          <w:rFonts w:ascii="宋体" w:cs="宋体"/>
          <w:b/>
          <w:bCs/>
          <w:kern w:val="0"/>
          <w:sz w:val="44"/>
          <w:szCs w:val="44"/>
        </w:rPr>
      </w:pPr>
      <w:r w:rsidRPr="00853425">
        <w:rPr>
          <w:rFonts w:ascii="宋体" w:hAnsi="宋体" w:cs="宋体" w:hint="eastAsia"/>
          <w:b/>
          <w:bCs/>
          <w:kern w:val="0"/>
          <w:sz w:val="44"/>
          <w:szCs w:val="44"/>
        </w:rPr>
        <w:t>部门整体支出绩效评价指标表</w:t>
      </w:r>
    </w:p>
    <w:tbl>
      <w:tblPr>
        <w:tblW w:w="10687" w:type="dxa"/>
        <w:jc w:val="center"/>
        <w:tblLayout w:type="fixed"/>
        <w:tblLook w:val="0000"/>
      </w:tblPr>
      <w:tblGrid>
        <w:gridCol w:w="678"/>
        <w:gridCol w:w="516"/>
        <w:gridCol w:w="659"/>
        <w:gridCol w:w="516"/>
        <w:gridCol w:w="1074"/>
        <w:gridCol w:w="516"/>
        <w:gridCol w:w="2878"/>
        <w:gridCol w:w="3228"/>
        <w:gridCol w:w="622"/>
      </w:tblGrid>
      <w:tr w:rsidR="00D57591" w:rsidTr="00057FE2">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三级</w:t>
            </w:r>
          </w:p>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评价标准</w:t>
            </w:r>
          </w:p>
        </w:tc>
        <w:tc>
          <w:tcPr>
            <w:tcW w:w="322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得分</w:t>
            </w:r>
          </w:p>
        </w:tc>
      </w:tr>
      <w:tr w:rsidR="00D57591" w:rsidTr="00057FE2">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lastRenderedPageBreak/>
              <w:t>投入</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nil"/>
              <w:right w:val="nil"/>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以</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为标准。在职人员控制率</w:t>
            </w:r>
            <w:r>
              <w:rPr>
                <w:rFonts w:ascii="Times New Roman" w:hAnsi="宋体" w:cs="宋体" w:hint="eastAsia"/>
                <w:kern w:val="0"/>
                <w:sz w:val="20"/>
                <w:szCs w:val="20"/>
              </w:rPr>
              <w:t>≦</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cs="仿宋_GB2312" w:hint="eastAsia"/>
                <w:kern w:val="0"/>
                <w:sz w:val="20"/>
                <w:szCs w:val="20"/>
              </w:rPr>
              <w:t>分，扣完为止。</w:t>
            </w:r>
          </w:p>
        </w:tc>
        <w:tc>
          <w:tcPr>
            <w:tcW w:w="3228" w:type="dxa"/>
            <w:tcBorders>
              <w:top w:val="nil"/>
              <w:left w:val="single" w:sz="4" w:space="0" w:color="auto"/>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编制数）×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57591" w:rsidTr="00057FE2">
        <w:trPr>
          <w:jc w:val="center"/>
        </w:trPr>
        <w:tc>
          <w:tcPr>
            <w:tcW w:w="678"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hAnsi="宋体" w:cs="宋体" w:hint="eastAsia"/>
                <w:kern w:val="0"/>
                <w:sz w:val="20"/>
                <w:szCs w:val="20"/>
              </w:rPr>
              <w:t>≦</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8</w:t>
            </w:r>
            <w:r>
              <w:rPr>
                <w:rFonts w:ascii="Times New Roman" w:eastAsia="仿宋_GB2312" w:hAnsi="Times New Roman" w:cs="仿宋_GB2312" w:hint="eastAsia"/>
                <w:kern w:val="0"/>
                <w:sz w:val="20"/>
                <w:szCs w:val="20"/>
              </w:rPr>
              <w:t>分；“三公经费”＞</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7</w:t>
            </w:r>
          </w:p>
        </w:tc>
      </w:tr>
      <w:tr w:rsidR="00D57591" w:rsidTr="00057FE2">
        <w:trPr>
          <w:jc w:val="center"/>
        </w:trPr>
        <w:tc>
          <w:tcPr>
            <w:tcW w:w="678"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年末结余）</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57591" w:rsidTr="00057FE2">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0-10%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10-20%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3</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20-30%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分；大于</w:t>
            </w:r>
            <w:r>
              <w:rPr>
                <w:rFonts w:ascii="Times New Roman" w:eastAsia="仿宋_GB2312" w:hAnsi="Times New Roman"/>
                <w:kern w:val="0"/>
                <w:sz w:val="20"/>
                <w:szCs w:val="20"/>
              </w:rPr>
              <w:t>30%</w:t>
            </w:r>
            <w:r>
              <w:rPr>
                <w:rFonts w:ascii="Times New Roman" w:eastAsia="仿宋_GB2312" w:hAnsi="Times New Roman" w:cs="仿宋_GB2312" w:hint="eastAsia"/>
                <w:kern w:val="0"/>
                <w:sz w:val="20"/>
                <w:szCs w:val="20"/>
              </w:rPr>
              <w:t>不得分。</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4</w:t>
            </w:r>
          </w:p>
        </w:tc>
      </w:tr>
      <w:tr w:rsidR="00D57591" w:rsidTr="00057FE2">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分，扣完为止。没有楼堂馆所项目的部门按满分计算。</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57591" w:rsidTr="00057FE2">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57591" w:rsidTr="00057FE2">
        <w:trPr>
          <w:trHeight w:val="1746"/>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41</w:t>
            </w: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57591" w:rsidTr="00057FE2">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（“三公经费”实际支出数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“三公经费”预算安排数）×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7</w:t>
            </w:r>
          </w:p>
        </w:tc>
      </w:tr>
      <w:tr w:rsidR="00D57591" w:rsidTr="00057FE2">
        <w:trPr>
          <w:trHeight w:val="918"/>
          <w:jc w:val="center"/>
        </w:trPr>
        <w:tc>
          <w:tcPr>
            <w:tcW w:w="678"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政府采购预算数）×</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D57591" w:rsidTr="00057FE2">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D57591" w:rsidRDefault="00D57591" w:rsidP="00057FE2">
            <w:pPr>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D57591" w:rsidRDefault="00D57591" w:rsidP="00057FE2">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管理制度健全性</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②有本部门厉行节约制度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lastRenderedPageBreak/>
              <w:t>③相关管理制度合法、合规、完整，</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分；④相关管理制度得到有效执行，</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lastRenderedPageBreak/>
              <w:t xml:space="preserve">　</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57591" w:rsidTr="00057FE2">
        <w:trPr>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资金使用合规性</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D57591" w:rsidTr="00057FE2">
        <w:trPr>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①按规定内容公开预决算信息，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分；②按规定时限公开预决算信息，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分；③基础数据信息和会计信息资料真实，</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分；④基础数据信息和会计信息资料完整，</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分；⑤基础数据信息和汇集信息资料准确，</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 xml:space="preserve">  </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D57591" w:rsidTr="00057FE2">
        <w:trPr>
          <w:jc w:val="center"/>
        </w:trPr>
        <w:tc>
          <w:tcPr>
            <w:tcW w:w="678"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26</w:t>
            </w:r>
          </w:p>
        </w:tc>
        <w:tc>
          <w:tcPr>
            <w:tcW w:w="659"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职责履行</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1074" w:type="dxa"/>
            <w:tcBorders>
              <w:top w:val="nil"/>
              <w:left w:val="nil"/>
              <w:bottom w:val="nil"/>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根据绩效办</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该项得分</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（绩效办对应部分考核得分</w:t>
            </w:r>
            <w:r>
              <w:rPr>
                <w:rFonts w:ascii="Times New Roman" w:eastAsia="仿宋_GB2312" w:hAnsi="Times New Roman"/>
                <w:kern w:val="0"/>
                <w:sz w:val="20"/>
                <w:szCs w:val="20"/>
              </w:rPr>
              <w:t>/500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*8</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D57591" w:rsidTr="00057FE2">
        <w:trPr>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履职</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效益</w:t>
            </w: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6106" w:type="dxa"/>
            <w:gridSpan w:val="2"/>
            <w:vMerge w:val="restart"/>
            <w:tcBorders>
              <w:top w:val="single" w:sz="4" w:space="0" w:color="auto"/>
              <w:left w:val="single" w:sz="4" w:space="0" w:color="auto"/>
              <w:bottom w:val="nil"/>
              <w:right w:val="single" w:sz="4" w:space="0" w:color="000000"/>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p>
        </w:tc>
      </w:tr>
      <w:tr w:rsidR="00D57591" w:rsidTr="00057FE2">
        <w:trPr>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社会效益</w:t>
            </w:r>
          </w:p>
        </w:tc>
        <w:tc>
          <w:tcPr>
            <w:tcW w:w="516" w:type="dxa"/>
            <w:vMerge/>
            <w:tcBorders>
              <w:top w:val="nil"/>
              <w:left w:val="single" w:sz="4" w:space="0" w:color="auto"/>
              <w:bottom w:val="nil"/>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106" w:type="dxa"/>
            <w:gridSpan w:val="2"/>
            <w:vMerge/>
            <w:tcBorders>
              <w:top w:val="single" w:sz="4" w:space="0" w:color="auto"/>
              <w:left w:val="single" w:sz="4" w:space="0" w:color="auto"/>
              <w:bottom w:val="nil"/>
              <w:right w:val="single" w:sz="4" w:space="0" w:color="000000"/>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22" w:type="dxa"/>
            <w:tcBorders>
              <w:top w:val="nil"/>
              <w:left w:val="nil"/>
              <w:bottom w:val="nil"/>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D57591" w:rsidTr="00057FE2">
        <w:trPr>
          <w:jc w:val="center"/>
        </w:trPr>
        <w:tc>
          <w:tcPr>
            <w:tcW w:w="678"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分；一般</w:t>
            </w:r>
            <w:r>
              <w:rPr>
                <w:rFonts w:ascii="Times New Roman" w:eastAsia="仿宋_GB2312" w:hAnsi="Times New Roman"/>
                <w:kern w:val="0"/>
                <w:sz w:val="20"/>
                <w:szCs w:val="20"/>
              </w:rPr>
              <w:t>3</w:t>
            </w:r>
            <w:r>
              <w:rPr>
                <w:rFonts w:ascii="Times New Roman" w:eastAsia="仿宋_GB2312" w:hAnsi="Times New Roman" w:cs="仿宋_GB2312" w:hint="eastAsia"/>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根据部门自评材料评定。</w:t>
            </w:r>
          </w:p>
        </w:tc>
        <w:tc>
          <w:tcPr>
            <w:tcW w:w="622"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3</w:t>
            </w:r>
          </w:p>
        </w:tc>
      </w:tr>
      <w:tr w:rsidR="00D57591" w:rsidTr="00057FE2">
        <w:trPr>
          <w:jc w:val="center"/>
        </w:trPr>
        <w:tc>
          <w:tcPr>
            <w:tcW w:w="678"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（含）以上计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80%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70%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-80%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低于</w:t>
            </w:r>
            <w:r>
              <w:rPr>
                <w:rFonts w:ascii="Times New Roman" w:eastAsia="仿宋_GB2312" w:hAnsi="Times New Roman"/>
                <w:kern w:val="0"/>
                <w:sz w:val="20"/>
                <w:szCs w:val="20"/>
              </w:rPr>
              <w:t>70%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社会公众或服务对象是指部门（单位）履行职责而影响到的部门、群体或个人，一般采取社会调查的方式。</w:t>
            </w:r>
          </w:p>
        </w:tc>
        <w:tc>
          <w:tcPr>
            <w:tcW w:w="622" w:type="dxa"/>
            <w:tcBorders>
              <w:top w:val="nil"/>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D57591" w:rsidTr="00057FE2">
        <w:trPr>
          <w:trHeight w:val="508"/>
          <w:jc w:val="center"/>
        </w:trPr>
        <w:tc>
          <w:tcPr>
            <w:tcW w:w="678" w:type="dxa"/>
            <w:tcBorders>
              <w:top w:val="single" w:sz="4" w:space="0" w:color="auto"/>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3228"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280" w:lineRule="exact"/>
              <w:jc w:val="left"/>
              <w:rPr>
                <w:rFonts w:ascii="Times New Roman" w:eastAsia="仿宋_GB2312" w:hAnsi="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D57591" w:rsidRDefault="00D57591" w:rsidP="00057FE2">
            <w:pPr>
              <w:widowControl/>
              <w:spacing w:line="300" w:lineRule="exact"/>
              <w:jc w:val="left"/>
              <w:rPr>
                <w:rFonts w:ascii="Times New Roman" w:hAnsi="Times New Roman"/>
                <w:kern w:val="0"/>
                <w:sz w:val="24"/>
                <w:szCs w:val="24"/>
              </w:rPr>
            </w:pPr>
            <w:r>
              <w:rPr>
                <w:rFonts w:ascii="Times New Roman" w:hAnsi="Times New Roman" w:hint="eastAsia"/>
                <w:kern w:val="0"/>
                <w:sz w:val="24"/>
                <w:szCs w:val="24"/>
              </w:rPr>
              <w:t>94</w:t>
            </w:r>
          </w:p>
        </w:tc>
      </w:tr>
    </w:tbl>
    <w:p w:rsidR="00D57591" w:rsidRPr="00DE04EC" w:rsidRDefault="00D57591" w:rsidP="000D1530">
      <w:pPr>
        <w:widowControl/>
        <w:spacing w:line="240" w:lineRule="atLeast"/>
        <w:ind w:firstLine="640"/>
        <w:rPr>
          <w:rFonts w:ascii="Times New Roman" w:eastAsia="黑体" w:hAnsi="Times New Roman"/>
          <w:color w:val="000000"/>
          <w:sz w:val="32"/>
          <w:szCs w:val="32"/>
        </w:rPr>
      </w:pPr>
    </w:p>
    <w:sectPr w:rsidR="00D57591" w:rsidRPr="00DE04EC" w:rsidSect="000308E1">
      <w:footerReference w:type="default" r:id="rId7"/>
      <w:pgSz w:w="11906" w:h="16838" w:code="9"/>
      <w:pgMar w:top="1701" w:right="1531" w:bottom="124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F9E" w:rsidRDefault="00B94F9E" w:rsidP="009F404C">
      <w:r>
        <w:separator/>
      </w:r>
    </w:p>
  </w:endnote>
  <w:endnote w:type="continuationSeparator" w:id="1">
    <w:p w:rsidR="00B94F9E" w:rsidRDefault="00B94F9E" w:rsidP="009F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D6" w:rsidRDefault="007844A4">
    <w:pPr>
      <w:pStyle w:val="a8"/>
      <w:jc w:val="right"/>
    </w:pPr>
    <w:fldSimple w:instr=" PAGE   \* MERGEFORMAT ">
      <w:r w:rsidR="00B4750F" w:rsidRPr="00B4750F">
        <w:rPr>
          <w:noProof/>
          <w:lang w:val="zh-CN"/>
        </w:rPr>
        <w:t>2</w:t>
      </w:r>
    </w:fldSimple>
  </w:p>
  <w:p w:rsidR="000F21D6" w:rsidRDefault="000F21D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F9E" w:rsidRDefault="00B94F9E" w:rsidP="009F404C">
      <w:r>
        <w:separator/>
      </w:r>
    </w:p>
  </w:footnote>
  <w:footnote w:type="continuationSeparator" w:id="1">
    <w:p w:rsidR="00B94F9E" w:rsidRDefault="00B94F9E" w:rsidP="009F4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552E"/>
    <w:multiLevelType w:val="hybridMultilevel"/>
    <w:tmpl w:val="DE4E0E90"/>
    <w:lvl w:ilvl="0" w:tplc="CB5C2758">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235706F0"/>
    <w:multiLevelType w:val="hybridMultilevel"/>
    <w:tmpl w:val="60341C9E"/>
    <w:lvl w:ilvl="0" w:tplc="4532FBE0">
      <w:start w:val="1"/>
      <w:numFmt w:val="japaneseCounting"/>
      <w:lvlText w:val="（%1）"/>
      <w:lvlJc w:val="left"/>
      <w:pPr>
        <w:ind w:left="1485" w:hanging="108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5600B1DD"/>
    <w:multiLevelType w:val="singleLevel"/>
    <w:tmpl w:val="5600B1DD"/>
    <w:lvl w:ilvl="0">
      <w:start w:val="2"/>
      <w:numFmt w:val="chineseCounting"/>
      <w:suff w:val="nothing"/>
      <w:lvlText w:val="（%1）"/>
      <w:lvlJc w:val="left"/>
      <w:rPr>
        <w:rFonts w:cs="Times New Roman"/>
      </w:rPr>
    </w:lvl>
  </w:abstractNum>
  <w:abstractNum w:abstractNumId="3">
    <w:nsid w:val="6DA17650"/>
    <w:multiLevelType w:val="hybridMultilevel"/>
    <w:tmpl w:val="2028E9A0"/>
    <w:lvl w:ilvl="0" w:tplc="BA8AE15C">
      <w:start w:val="1"/>
      <w:numFmt w:val="japaneseCounting"/>
      <w:lvlText w:val="%1、"/>
      <w:lvlJc w:val="left"/>
      <w:pPr>
        <w:ind w:left="1270" w:hanging="63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4AB"/>
    <w:rsid w:val="00001D38"/>
    <w:rsid w:val="0000298E"/>
    <w:rsid w:val="00002AE4"/>
    <w:rsid w:val="000308E1"/>
    <w:rsid w:val="00031747"/>
    <w:rsid w:val="0003456A"/>
    <w:rsid w:val="00037035"/>
    <w:rsid w:val="00037161"/>
    <w:rsid w:val="0004235A"/>
    <w:rsid w:val="0004338B"/>
    <w:rsid w:val="000469BA"/>
    <w:rsid w:val="000516DC"/>
    <w:rsid w:val="00053CFF"/>
    <w:rsid w:val="00053F71"/>
    <w:rsid w:val="000552F3"/>
    <w:rsid w:val="00070B5F"/>
    <w:rsid w:val="000747B8"/>
    <w:rsid w:val="00075715"/>
    <w:rsid w:val="00083406"/>
    <w:rsid w:val="00085A99"/>
    <w:rsid w:val="00087EA5"/>
    <w:rsid w:val="00091B80"/>
    <w:rsid w:val="00092609"/>
    <w:rsid w:val="00095456"/>
    <w:rsid w:val="000A27DF"/>
    <w:rsid w:val="000A6E3A"/>
    <w:rsid w:val="000B1FC2"/>
    <w:rsid w:val="000D1530"/>
    <w:rsid w:val="000D6179"/>
    <w:rsid w:val="000E240C"/>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56DB9"/>
    <w:rsid w:val="00160267"/>
    <w:rsid w:val="001603D1"/>
    <w:rsid w:val="0016425E"/>
    <w:rsid w:val="00167BE7"/>
    <w:rsid w:val="00180DA0"/>
    <w:rsid w:val="00181657"/>
    <w:rsid w:val="00182289"/>
    <w:rsid w:val="00190E24"/>
    <w:rsid w:val="00191FD7"/>
    <w:rsid w:val="0019209D"/>
    <w:rsid w:val="00197BA7"/>
    <w:rsid w:val="001A5697"/>
    <w:rsid w:val="001A5ADC"/>
    <w:rsid w:val="001A64A0"/>
    <w:rsid w:val="001B465B"/>
    <w:rsid w:val="001B64C3"/>
    <w:rsid w:val="001C15DF"/>
    <w:rsid w:val="001C628A"/>
    <w:rsid w:val="001C7486"/>
    <w:rsid w:val="001D65E5"/>
    <w:rsid w:val="001D6602"/>
    <w:rsid w:val="001E4F39"/>
    <w:rsid w:val="001E5B80"/>
    <w:rsid w:val="001E6BFE"/>
    <w:rsid w:val="001F0F3D"/>
    <w:rsid w:val="001F6D73"/>
    <w:rsid w:val="00205440"/>
    <w:rsid w:val="00206D8D"/>
    <w:rsid w:val="002102DB"/>
    <w:rsid w:val="002129C1"/>
    <w:rsid w:val="00214D7C"/>
    <w:rsid w:val="00221B76"/>
    <w:rsid w:val="00222E30"/>
    <w:rsid w:val="00225256"/>
    <w:rsid w:val="0022607D"/>
    <w:rsid w:val="002305A2"/>
    <w:rsid w:val="00231C6E"/>
    <w:rsid w:val="00232F9D"/>
    <w:rsid w:val="0023666C"/>
    <w:rsid w:val="00254482"/>
    <w:rsid w:val="00254F16"/>
    <w:rsid w:val="00261A82"/>
    <w:rsid w:val="0026227A"/>
    <w:rsid w:val="0026230D"/>
    <w:rsid w:val="00273F87"/>
    <w:rsid w:val="00286A75"/>
    <w:rsid w:val="00291511"/>
    <w:rsid w:val="00292E06"/>
    <w:rsid w:val="002A1611"/>
    <w:rsid w:val="002A336C"/>
    <w:rsid w:val="002A3ED2"/>
    <w:rsid w:val="002A4788"/>
    <w:rsid w:val="002B1E16"/>
    <w:rsid w:val="002B1FB2"/>
    <w:rsid w:val="002B2BEF"/>
    <w:rsid w:val="002B778F"/>
    <w:rsid w:val="002C064D"/>
    <w:rsid w:val="002D6D4A"/>
    <w:rsid w:val="002E1DF4"/>
    <w:rsid w:val="002F2F86"/>
    <w:rsid w:val="002F7643"/>
    <w:rsid w:val="00303890"/>
    <w:rsid w:val="003053A5"/>
    <w:rsid w:val="00306986"/>
    <w:rsid w:val="0031038E"/>
    <w:rsid w:val="003134F7"/>
    <w:rsid w:val="00313CA6"/>
    <w:rsid w:val="00317AB2"/>
    <w:rsid w:val="00324952"/>
    <w:rsid w:val="00331547"/>
    <w:rsid w:val="00341012"/>
    <w:rsid w:val="00341F8A"/>
    <w:rsid w:val="00342BE8"/>
    <w:rsid w:val="00344BD5"/>
    <w:rsid w:val="00344CA7"/>
    <w:rsid w:val="00345B18"/>
    <w:rsid w:val="00346169"/>
    <w:rsid w:val="003478B2"/>
    <w:rsid w:val="0035015A"/>
    <w:rsid w:val="00351E0E"/>
    <w:rsid w:val="0035557A"/>
    <w:rsid w:val="00362473"/>
    <w:rsid w:val="00362E31"/>
    <w:rsid w:val="00372621"/>
    <w:rsid w:val="00374987"/>
    <w:rsid w:val="0038212B"/>
    <w:rsid w:val="00382A10"/>
    <w:rsid w:val="00383377"/>
    <w:rsid w:val="00383992"/>
    <w:rsid w:val="00392B58"/>
    <w:rsid w:val="00394ABB"/>
    <w:rsid w:val="003A4ACA"/>
    <w:rsid w:val="003A7FDD"/>
    <w:rsid w:val="003B23EB"/>
    <w:rsid w:val="003B2F4F"/>
    <w:rsid w:val="003B6790"/>
    <w:rsid w:val="003B7267"/>
    <w:rsid w:val="003B7FA2"/>
    <w:rsid w:val="003D4854"/>
    <w:rsid w:val="003E3CB2"/>
    <w:rsid w:val="003E4060"/>
    <w:rsid w:val="003E52E4"/>
    <w:rsid w:val="00404BE5"/>
    <w:rsid w:val="00410AE1"/>
    <w:rsid w:val="00410FF6"/>
    <w:rsid w:val="00411330"/>
    <w:rsid w:val="00412456"/>
    <w:rsid w:val="00417BC1"/>
    <w:rsid w:val="0042330A"/>
    <w:rsid w:val="00427D9D"/>
    <w:rsid w:val="00431F52"/>
    <w:rsid w:val="00434B10"/>
    <w:rsid w:val="00446CFB"/>
    <w:rsid w:val="004506ED"/>
    <w:rsid w:val="004531EE"/>
    <w:rsid w:val="004543E4"/>
    <w:rsid w:val="004561C6"/>
    <w:rsid w:val="004621CC"/>
    <w:rsid w:val="00473D54"/>
    <w:rsid w:val="00477B78"/>
    <w:rsid w:val="00481926"/>
    <w:rsid w:val="00483F92"/>
    <w:rsid w:val="004948B2"/>
    <w:rsid w:val="00496F6D"/>
    <w:rsid w:val="004A0757"/>
    <w:rsid w:val="004B09F8"/>
    <w:rsid w:val="004C2AEE"/>
    <w:rsid w:val="004D5F90"/>
    <w:rsid w:val="004E1AF5"/>
    <w:rsid w:val="004E2593"/>
    <w:rsid w:val="004E394D"/>
    <w:rsid w:val="004E6E44"/>
    <w:rsid w:val="004F53C1"/>
    <w:rsid w:val="00505F55"/>
    <w:rsid w:val="005064CA"/>
    <w:rsid w:val="00507BC7"/>
    <w:rsid w:val="00510B86"/>
    <w:rsid w:val="0051150F"/>
    <w:rsid w:val="005118BF"/>
    <w:rsid w:val="005341B6"/>
    <w:rsid w:val="005367E1"/>
    <w:rsid w:val="00536A21"/>
    <w:rsid w:val="005377C3"/>
    <w:rsid w:val="005438D0"/>
    <w:rsid w:val="0054486C"/>
    <w:rsid w:val="005458BD"/>
    <w:rsid w:val="0055022D"/>
    <w:rsid w:val="00550C9A"/>
    <w:rsid w:val="00553BA4"/>
    <w:rsid w:val="0057789D"/>
    <w:rsid w:val="00585BED"/>
    <w:rsid w:val="0058649C"/>
    <w:rsid w:val="00591694"/>
    <w:rsid w:val="005916AB"/>
    <w:rsid w:val="00592496"/>
    <w:rsid w:val="00593595"/>
    <w:rsid w:val="005A13B0"/>
    <w:rsid w:val="005A3424"/>
    <w:rsid w:val="005A4650"/>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1181B"/>
    <w:rsid w:val="0061405C"/>
    <w:rsid w:val="0061768E"/>
    <w:rsid w:val="00620930"/>
    <w:rsid w:val="0063032F"/>
    <w:rsid w:val="00640E29"/>
    <w:rsid w:val="006412C9"/>
    <w:rsid w:val="00653BEF"/>
    <w:rsid w:val="006557C1"/>
    <w:rsid w:val="00655F15"/>
    <w:rsid w:val="0066304C"/>
    <w:rsid w:val="00664139"/>
    <w:rsid w:val="00666EBB"/>
    <w:rsid w:val="00671561"/>
    <w:rsid w:val="00672718"/>
    <w:rsid w:val="006769A7"/>
    <w:rsid w:val="00676BCC"/>
    <w:rsid w:val="0067774C"/>
    <w:rsid w:val="00682EDF"/>
    <w:rsid w:val="006858E7"/>
    <w:rsid w:val="00686123"/>
    <w:rsid w:val="00687554"/>
    <w:rsid w:val="00687F93"/>
    <w:rsid w:val="00693448"/>
    <w:rsid w:val="00693AE8"/>
    <w:rsid w:val="00695008"/>
    <w:rsid w:val="006A2D1E"/>
    <w:rsid w:val="006A373C"/>
    <w:rsid w:val="006A3A89"/>
    <w:rsid w:val="006A6FDC"/>
    <w:rsid w:val="006B1F3F"/>
    <w:rsid w:val="006C3E4B"/>
    <w:rsid w:val="006C5D54"/>
    <w:rsid w:val="006D03E1"/>
    <w:rsid w:val="006D0B0B"/>
    <w:rsid w:val="006D0B89"/>
    <w:rsid w:val="006E4E54"/>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44A4"/>
    <w:rsid w:val="00786728"/>
    <w:rsid w:val="00790E49"/>
    <w:rsid w:val="00793BCC"/>
    <w:rsid w:val="007974AB"/>
    <w:rsid w:val="007A0A4C"/>
    <w:rsid w:val="007B039C"/>
    <w:rsid w:val="007B13FA"/>
    <w:rsid w:val="007B46F9"/>
    <w:rsid w:val="007B4DD3"/>
    <w:rsid w:val="007B4F12"/>
    <w:rsid w:val="007B57E2"/>
    <w:rsid w:val="007C0768"/>
    <w:rsid w:val="007C536F"/>
    <w:rsid w:val="007D16E0"/>
    <w:rsid w:val="007D3B87"/>
    <w:rsid w:val="007D5CA1"/>
    <w:rsid w:val="007D637D"/>
    <w:rsid w:val="007E3B70"/>
    <w:rsid w:val="007F05A2"/>
    <w:rsid w:val="007F1ED1"/>
    <w:rsid w:val="007F7875"/>
    <w:rsid w:val="00800AE0"/>
    <w:rsid w:val="00827E67"/>
    <w:rsid w:val="00832102"/>
    <w:rsid w:val="00833FA8"/>
    <w:rsid w:val="0084564C"/>
    <w:rsid w:val="00851F1E"/>
    <w:rsid w:val="00853106"/>
    <w:rsid w:val="00853201"/>
    <w:rsid w:val="00863977"/>
    <w:rsid w:val="008662AB"/>
    <w:rsid w:val="00867DE4"/>
    <w:rsid w:val="00885497"/>
    <w:rsid w:val="008862A7"/>
    <w:rsid w:val="00891274"/>
    <w:rsid w:val="008B03AA"/>
    <w:rsid w:val="008B1FF5"/>
    <w:rsid w:val="008B33CC"/>
    <w:rsid w:val="008B3530"/>
    <w:rsid w:val="008D36D8"/>
    <w:rsid w:val="008D3A8E"/>
    <w:rsid w:val="008D614F"/>
    <w:rsid w:val="008D7CE8"/>
    <w:rsid w:val="008E47C8"/>
    <w:rsid w:val="008E7DED"/>
    <w:rsid w:val="008F0E86"/>
    <w:rsid w:val="0090366D"/>
    <w:rsid w:val="00905011"/>
    <w:rsid w:val="00911DD8"/>
    <w:rsid w:val="00913F44"/>
    <w:rsid w:val="00917770"/>
    <w:rsid w:val="00921D22"/>
    <w:rsid w:val="00921EF0"/>
    <w:rsid w:val="009337EA"/>
    <w:rsid w:val="0094137E"/>
    <w:rsid w:val="00943B87"/>
    <w:rsid w:val="009442C5"/>
    <w:rsid w:val="0094685F"/>
    <w:rsid w:val="00947B15"/>
    <w:rsid w:val="00956048"/>
    <w:rsid w:val="00961BF1"/>
    <w:rsid w:val="0096338E"/>
    <w:rsid w:val="009709F2"/>
    <w:rsid w:val="0097377E"/>
    <w:rsid w:val="0097487E"/>
    <w:rsid w:val="00977060"/>
    <w:rsid w:val="0098378E"/>
    <w:rsid w:val="00983845"/>
    <w:rsid w:val="00986F29"/>
    <w:rsid w:val="00991EA4"/>
    <w:rsid w:val="009943A8"/>
    <w:rsid w:val="009947D3"/>
    <w:rsid w:val="009965AB"/>
    <w:rsid w:val="009A55AE"/>
    <w:rsid w:val="009B5851"/>
    <w:rsid w:val="009C406D"/>
    <w:rsid w:val="009C5DDA"/>
    <w:rsid w:val="009D6DA7"/>
    <w:rsid w:val="009E02A8"/>
    <w:rsid w:val="009E265C"/>
    <w:rsid w:val="009E5A22"/>
    <w:rsid w:val="009F404C"/>
    <w:rsid w:val="00A00330"/>
    <w:rsid w:val="00A031DE"/>
    <w:rsid w:val="00A14698"/>
    <w:rsid w:val="00A15119"/>
    <w:rsid w:val="00A219F9"/>
    <w:rsid w:val="00A23281"/>
    <w:rsid w:val="00A24325"/>
    <w:rsid w:val="00A31FCC"/>
    <w:rsid w:val="00A36DBC"/>
    <w:rsid w:val="00A40728"/>
    <w:rsid w:val="00A413AD"/>
    <w:rsid w:val="00A42F44"/>
    <w:rsid w:val="00A430F4"/>
    <w:rsid w:val="00A44A41"/>
    <w:rsid w:val="00A50C6C"/>
    <w:rsid w:val="00A50EDE"/>
    <w:rsid w:val="00A53396"/>
    <w:rsid w:val="00A57284"/>
    <w:rsid w:val="00A6409C"/>
    <w:rsid w:val="00A747A4"/>
    <w:rsid w:val="00A76E82"/>
    <w:rsid w:val="00A949AD"/>
    <w:rsid w:val="00A95DE6"/>
    <w:rsid w:val="00AB11DB"/>
    <w:rsid w:val="00AC2C79"/>
    <w:rsid w:val="00AC3596"/>
    <w:rsid w:val="00AC3D49"/>
    <w:rsid w:val="00AD0292"/>
    <w:rsid w:val="00AD09F4"/>
    <w:rsid w:val="00AD6202"/>
    <w:rsid w:val="00AD797A"/>
    <w:rsid w:val="00AE4204"/>
    <w:rsid w:val="00AF1354"/>
    <w:rsid w:val="00AF6368"/>
    <w:rsid w:val="00B03149"/>
    <w:rsid w:val="00B04987"/>
    <w:rsid w:val="00B067B2"/>
    <w:rsid w:val="00B07A1C"/>
    <w:rsid w:val="00B12151"/>
    <w:rsid w:val="00B12501"/>
    <w:rsid w:val="00B13F7B"/>
    <w:rsid w:val="00B1669E"/>
    <w:rsid w:val="00B20F55"/>
    <w:rsid w:val="00B21F2B"/>
    <w:rsid w:val="00B23A19"/>
    <w:rsid w:val="00B3064B"/>
    <w:rsid w:val="00B30E1F"/>
    <w:rsid w:val="00B32F56"/>
    <w:rsid w:val="00B4750F"/>
    <w:rsid w:val="00B5069E"/>
    <w:rsid w:val="00B54FA2"/>
    <w:rsid w:val="00B559AE"/>
    <w:rsid w:val="00B576D4"/>
    <w:rsid w:val="00B605B4"/>
    <w:rsid w:val="00B65994"/>
    <w:rsid w:val="00B65A23"/>
    <w:rsid w:val="00B718B5"/>
    <w:rsid w:val="00B7695F"/>
    <w:rsid w:val="00B80C73"/>
    <w:rsid w:val="00B824FB"/>
    <w:rsid w:val="00B8579B"/>
    <w:rsid w:val="00B85D54"/>
    <w:rsid w:val="00B86E61"/>
    <w:rsid w:val="00B90483"/>
    <w:rsid w:val="00B9269A"/>
    <w:rsid w:val="00B93DBC"/>
    <w:rsid w:val="00B94F9E"/>
    <w:rsid w:val="00B9683E"/>
    <w:rsid w:val="00BA21E0"/>
    <w:rsid w:val="00BA3557"/>
    <w:rsid w:val="00BB02A3"/>
    <w:rsid w:val="00BB68BB"/>
    <w:rsid w:val="00BB7153"/>
    <w:rsid w:val="00BD1277"/>
    <w:rsid w:val="00BD600A"/>
    <w:rsid w:val="00BE2E9A"/>
    <w:rsid w:val="00BF20DB"/>
    <w:rsid w:val="00BF51A5"/>
    <w:rsid w:val="00BF73DD"/>
    <w:rsid w:val="00C0088E"/>
    <w:rsid w:val="00C02189"/>
    <w:rsid w:val="00C028A0"/>
    <w:rsid w:val="00C30FDC"/>
    <w:rsid w:val="00C319C9"/>
    <w:rsid w:val="00C33895"/>
    <w:rsid w:val="00C3680C"/>
    <w:rsid w:val="00C369F4"/>
    <w:rsid w:val="00C44C07"/>
    <w:rsid w:val="00C4612E"/>
    <w:rsid w:val="00C47082"/>
    <w:rsid w:val="00C52569"/>
    <w:rsid w:val="00C54E49"/>
    <w:rsid w:val="00C573B5"/>
    <w:rsid w:val="00C60E03"/>
    <w:rsid w:val="00C62F43"/>
    <w:rsid w:val="00C63B42"/>
    <w:rsid w:val="00C72DCE"/>
    <w:rsid w:val="00C7459A"/>
    <w:rsid w:val="00C93127"/>
    <w:rsid w:val="00C935BF"/>
    <w:rsid w:val="00C95F18"/>
    <w:rsid w:val="00CA0A79"/>
    <w:rsid w:val="00CA163D"/>
    <w:rsid w:val="00CA33BA"/>
    <w:rsid w:val="00CB5102"/>
    <w:rsid w:val="00CC0774"/>
    <w:rsid w:val="00CC3862"/>
    <w:rsid w:val="00CC4ADD"/>
    <w:rsid w:val="00CD2BBD"/>
    <w:rsid w:val="00CD35A0"/>
    <w:rsid w:val="00CE087F"/>
    <w:rsid w:val="00CE0DAB"/>
    <w:rsid w:val="00CF68AF"/>
    <w:rsid w:val="00CF75DD"/>
    <w:rsid w:val="00CF7E02"/>
    <w:rsid w:val="00D05ACC"/>
    <w:rsid w:val="00D14DCC"/>
    <w:rsid w:val="00D204FD"/>
    <w:rsid w:val="00D258CC"/>
    <w:rsid w:val="00D27CBF"/>
    <w:rsid w:val="00D32AA5"/>
    <w:rsid w:val="00D33649"/>
    <w:rsid w:val="00D4312A"/>
    <w:rsid w:val="00D43845"/>
    <w:rsid w:val="00D4564B"/>
    <w:rsid w:val="00D464D3"/>
    <w:rsid w:val="00D52EEC"/>
    <w:rsid w:val="00D55FCF"/>
    <w:rsid w:val="00D57591"/>
    <w:rsid w:val="00D60B6C"/>
    <w:rsid w:val="00D62E84"/>
    <w:rsid w:val="00D65095"/>
    <w:rsid w:val="00D740A8"/>
    <w:rsid w:val="00D809C7"/>
    <w:rsid w:val="00D903B2"/>
    <w:rsid w:val="00D90905"/>
    <w:rsid w:val="00D90B0C"/>
    <w:rsid w:val="00D9240C"/>
    <w:rsid w:val="00D927CA"/>
    <w:rsid w:val="00DA1E2C"/>
    <w:rsid w:val="00DB49E9"/>
    <w:rsid w:val="00DB4E0F"/>
    <w:rsid w:val="00DB79CE"/>
    <w:rsid w:val="00DD1471"/>
    <w:rsid w:val="00DD1B35"/>
    <w:rsid w:val="00DD579B"/>
    <w:rsid w:val="00DE04EC"/>
    <w:rsid w:val="00DE1D58"/>
    <w:rsid w:val="00DE53FD"/>
    <w:rsid w:val="00DF0050"/>
    <w:rsid w:val="00DF192B"/>
    <w:rsid w:val="00DF3708"/>
    <w:rsid w:val="00DF422E"/>
    <w:rsid w:val="00E04C58"/>
    <w:rsid w:val="00E07FE4"/>
    <w:rsid w:val="00E1178C"/>
    <w:rsid w:val="00E12865"/>
    <w:rsid w:val="00E136D5"/>
    <w:rsid w:val="00E1598C"/>
    <w:rsid w:val="00E171D4"/>
    <w:rsid w:val="00E20D5A"/>
    <w:rsid w:val="00E2433A"/>
    <w:rsid w:val="00E275D0"/>
    <w:rsid w:val="00E35604"/>
    <w:rsid w:val="00E37C21"/>
    <w:rsid w:val="00E40FD3"/>
    <w:rsid w:val="00E46D74"/>
    <w:rsid w:val="00E510E7"/>
    <w:rsid w:val="00E54080"/>
    <w:rsid w:val="00E5592F"/>
    <w:rsid w:val="00E55CDD"/>
    <w:rsid w:val="00E57337"/>
    <w:rsid w:val="00E5799B"/>
    <w:rsid w:val="00E63F09"/>
    <w:rsid w:val="00E67C16"/>
    <w:rsid w:val="00E72030"/>
    <w:rsid w:val="00E774DF"/>
    <w:rsid w:val="00E7796F"/>
    <w:rsid w:val="00E80074"/>
    <w:rsid w:val="00E848A7"/>
    <w:rsid w:val="00E85548"/>
    <w:rsid w:val="00E94326"/>
    <w:rsid w:val="00E94979"/>
    <w:rsid w:val="00E95F9B"/>
    <w:rsid w:val="00EB0525"/>
    <w:rsid w:val="00EB0AF9"/>
    <w:rsid w:val="00EB18D4"/>
    <w:rsid w:val="00EB20C3"/>
    <w:rsid w:val="00EB7A12"/>
    <w:rsid w:val="00EC133C"/>
    <w:rsid w:val="00EC2A45"/>
    <w:rsid w:val="00ED39EF"/>
    <w:rsid w:val="00ED459B"/>
    <w:rsid w:val="00ED57CB"/>
    <w:rsid w:val="00F0324A"/>
    <w:rsid w:val="00F033A8"/>
    <w:rsid w:val="00F07FD8"/>
    <w:rsid w:val="00F15C5B"/>
    <w:rsid w:val="00F204D5"/>
    <w:rsid w:val="00F25ACD"/>
    <w:rsid w:val="00F31077"/>
    <w:rsid w:val="00F34647"/>
    <w:rsid w:val="00F5082F"/>
    <w:rsid w:val="00F53D8C"/>
    <w:rsid w:val="00F5551B"/>
    <w:rsid w:val="00F62E20"/>
    <w:rsid w:val="00F631D3"/>
    <w:rsid w:val="00F64A66"/>
    <w:rsid w:val="00F67480"/>
    <w:rsid w:val="00F67A2E"/>
    <w:rsid w:val="00F7046B"/>
    <w:rsid w:val="00F71779"/>
    <w:rsid w:val="00F74C43"/>
    <w:rsid w:val="00F81E51"/>
    <w:rsid w:val="00F921CA"/>
    <w:rsid w:val="00FA5A76"/>
    <w:rsid w:val="00FB0000"/>
    <w:rsid w:val="00FC3D3C"/>
    <w:rsid w:val="00FD03F6"/>
    <w:rsid w:val="00FD1260"/>
    <w:rsid w:val="00FD30A7"/>
    <w:rsid w:val="00FD4154"/>
    <w:rsid w:val="00FD47E3"/>
    <w:rsid w:val="00FE15F4"/>
    <w:rsid w:val="00FE4F3C"/>
    <w:rsid w:val="00FF2FCA"/>
    <w:rsid w:val="00FF35B6"/>
    <w:rsid w:val="00FF5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A2"/>
    <w:pPr>
      <w:widowControl w:val="0"/>
      <w:jc w:val="both"/>
    </w:pPr>
    <w:rPr>
      <w:kern w:val="2"/>
      <w:sz w:val="21"/>
      <w:szCs w:val="22"/>
    </w:rPr>
  </w:style>
  <w:style w:type="paragraph" w:styleId="1">
    <w:name w:val="heading 1"/>
    <w:basedOn w:val="a"/>
    <w:link w:val="1Char"/>
    <w:uiPriority w:val="99"/>
    <w:qFormat/>
    <w:rsid w:val="007974AB"/>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link w:val="2Char"/>
    <w:uiPriority w:val="99"/>
    <w:qFormat/>
    <w:rsid w:val="007974AB"/>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link w:val="3Char"/>
    <w:uiPriority w:val="99"/>
    <w:qFormat/>
    <w:rsid w:val="007974AB"/>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link w:val="4Char"/>
    <w:uiPriority w:val="99"/>
    <w:qFormat/>
    <w:rsid w:val="007974AB"/>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link w:val="5Char"/>
    <w:uiPriority w:val="99"/>
    <w:qFormat/>
    <w:rsid w:val="007974AB"/>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link w:val="6Char"/>
    <w:uiPriority w:val="99"/>
    <w:qFormat/>
    <w:rsid w:val="007974AB"/>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974AB"/>
    <w:rPr>
      <w:rFonts w:ascii="宋体" w:eastAsia="宋体" w:hAnsi="宋体" w:cs="宋体"/>
      <w:kern w:val="36"/>
      <w:sz w:val="48"/>
      <w:szCs w:val="48"/>
    </w:rPr>
  </w:style>
  <w:style w:type="character" w:customStyle="1" w:styleId="2Char">
    <w:name w:val="标题 2 Char"/>
    <w:basedOn w:val="a0"/>
    <w:link w:val="2"/>
    <w:uiPriority w:val="99"/>
    <w:locked/>
    <w:rsid w:val="007974AB"/>
    <w:rPr>
      <w:rFonts w:ascii="宋体" w:eastAsia="宋体" w:hAnsi="宋体" w:cs="宋体"/>
      <w:kern w:val="0"/>
      <w:sz w:val="36"/>
      <w:szCs w:val="36"/>
    </w:rPr>
  </w:style>
  <w:style w:type="character" w:customStyle="1" w:styleId="3Char">
    <w:name w:val="标题 3 Char"/>
    <w:basedOn w:val="a0"/>
    <w:link w:val="3"/>
    <w:uiPriority w:val="99"/>
    <w:locked/>
    <w:rsid w:val="007974AB"/>
    <w:rPr>
      <w:rFonts w:ascii="宋体" w:eastAsia="宋体" w:hAnsi="宋体" w:cs="宋体"/>
      <w:kern w:val="0"/>
      <w:sz w:val="27"/>
      <w:szCs w:val="27"/>
    </w:rPr>
  </w:style>
  <w:style w:type="character" w:customStyle="1" w:styleId="4Char">
    <w:name w:val="标题 4 Char"/>
    <w:basedOn w:val="a0"/>
    <w:link w:val="4"/>
    <w:uiPriority w:val="99"/>
    <w:locked/>
    <w:rsid w:val="007974AB"/>
    <w:rPr>
      <w:rFonts w:ascii="宋体" w:eastAsia="宋体" w:hAnsi="宋体" w:cs="宋体"/>
      <w:kern w:val="0"/>
      <w:sz w:val="24"/>
      <w:szCs w:val="24"/>
    </w:rPr>
  </w:style>
  <w:style w:type="character" w:customStyle="1" w:styleId="5Char">
    <w:name w:val="标题 5 Char"/>
    <w:basedOn w:val="a0"/>
    <w:link w:val="5"/>
    <w:uiPriority w:val="99"/>
    <w:locked/>
    <w:rsid w:val="007974AB"/>
    <w:rPr>
      <w:rFonts w:ascii="宋体" w:eastAsia="宋体" w:hAnsi="宋体" w:cs="宋体"/>
      <w:kern w:val="0"/>
      <w:sz w:val="20"/>
      <w:szCs w:val="20"/>
    </w:rPr>
  </w:style>
  <w:style w:type="character" w:customStyle="1" w:styleId="6Char">
    <w:name w:val="标题 6 Char"/>
    <w:basedOn w:val="a0"/>
    <w:link w:val="6"/>
    <w:uiPriority w:val="99"/>
    <w:locked/>
    <w:rsid w:val="007974AB"/>
    <w:rPr>
      <w:rFonts w:ascii="宋体" w:eastAsia="宋体" w:hAnsi="宋体" w:cs="宋体"/>
      <w:kern w:val="0"/>
      <w:sz w:val="15"/>
      <w:szCs w:val="15"/>
    </w:rPr>
  </w:style>
  <w:style w:type="character" w:styleId="a3">
    <w:name w:val="Hyperlink"/>
    <w:basedOn w:val="a0"/>
    <w:uiPriority w:val="99"/>
    <w:semiHidden/>
    <w:rsid w:val="007974AB"/>
    <w:rPr>
      <w:rFonts w:cs="Times New Roman"/>
      <w:color w:val="252525"/>
      <w:u w:val="none"/>
      <w:effect w:val="none"/>
    </w:rPr>
  </w:style>
  <w:style w:type="character" w:styleId="a4">
    <w:name w:val="FollowedHyperlink"/>
    <w:basedOn w:val="a0"/>
    <w:uiPriority w:val="99"/>
    <w:semiHidden/>
    <w:rsid w:val="007974AB"/>
    <w:rPr>
      <w:rFonts w:cs="Times New Roman"/>
      <w:color w:val="252525"/>
      <w:u w:val="none"/>
      <w:effect w:val="none"/>
    </w:rPr>
  </w:style>
  <w:style w:type="paragraph" w:styleId="HTML">
    <w:name w:val="HTML Address"/>
    <w:basedOn w:val="a"/>
    <w:link w:val="HTMLChar"/>
    <w:uiPriority w:val="99"/>
    <w:semiHidden/>
    <w:rsid w:val="007974AB"/>
    <w:pPr>
      <w:widowControl/>
      <w:jc w:val="left"/>
    </w:pPr>
    <w:rPr>
      <w:rFonts w:ascii="宋体" w:hAnsi="宋体" w:cs="宋体"/>
      <w:kern w:val="0"/>
      <w:sz w:val="24"/>
      <w:szCs w:val="24"/>
    </w:rPr>
  </w:style>
  <w:style w:type="character" w:customStyle="1" w:styleId="HTMLChar">
    <w:name w:val="HTML 地址 Char"/>
    <w:basedOn w:val="a0"/>
    <w:link w:val="HTML"/>
    <w:uiPriority w:val="99"/>
    <w:semiHidden/>
    <w:locked/>
    <w:rsid w:val="007974AB"/>
    <w:rPr>
      <w:rFonts w:ascii="宋体" w:eastAsia="宋体" w:hAnsi="宋体" w:cs="宋体"/>
      <w:kern w:val="0"/>
      <w:sz w:val="24"/>
      <w:szCs w:val="24"/>
    </w:rPr>
  </w:style>
  <w:style w:type="character" w:styleId="HTML0">
    <w:name w:val="HTML Cite"/>
    <w:basedOn w:val="a0"/>
    <w:uiPriority w:val="99"/>
    <w:semiHidden/>
    <w:rsid w:val="007974AB"/>
    <w:rPr>
      <w:rFonts w:cs="Times New Roman"/>
    </w:rPr>
  </w:style>
  <w:style w:type="character" w:styleId="HTML1">
    <w:name w:val="HTML Code"/>
    <w:basedOn w:val="a0"/>
    <w:uiPriority w:val="99"/>
    <w:semiHidden/>
    <w:rsid w:val="007974AB"/>
    <w:rPr>
      <w:rFonts w:ascii="宋体" w:eastAsia="宋体" w:hAnsi="宋体" w:cs="宋体"/>
      <w:sz w:val="24"/>
      <w:szCs w:val="24"/>
    </w:rPr>
  </w:style>
  <w:style w:type="character" w:styleId="a5">
    <w:name w:val="Emphasis"/>
    <w:basedOn w:val="a0"/>
    <w:uiPriority w:val="99"/>
    <w:qFormat/>
    <w:rsid w:val="007974AB"/>
    <w:rPr>
      <w:rFonts w:cs="Times New Roman"/>
    </w:rPr>
  </w:style>
  <w:style w:type="paragraph" w:customStyle="1" w:styleId="fb">
    <w:name w:val="fb"/>
    <w:basedOn w:val="a"/>
    <w:uiPriority w:val="99"/>
    <w:rsid w:val="007974AB"/>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rsid w:val="007974AB"/>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rsid w:val="007974AB"/>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rsid w:val="007974AB"/>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rsid w:val="007974AB"/>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rsid w:val="007974AB"/>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7974AB"/>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7974AB"/>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rsid w:val="007974AB"/>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rsid w:val="007974AB"/>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7974AB"/>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rsid w:val="007974AB"/>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rsid w:val="007974AB"/>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rsid w:val="007974AB"/>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7974AB"/>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7974AB"/>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7974AB"/>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rsid w:val="007974AB"/>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rsid w:val="007974AB"/>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7974AB"/>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rsid w:val="007974AB"/>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rsid w:val="007974AB"/>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rsid w:val="007974AB"/>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7974AB"/>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rsid w:val="007974AB"/>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rsid w:val="007974AB"/>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7974AB"/>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rsid w:val="007974AB"/>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rsid w:val="007974AB"/>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sid w:val="007974AB"/>
    <w:rPr>
      <w:rFonts w:cs="Times New Roman"/>
    </w:rPr>
  </w:style>
  <w:style w:type="paragraph" w:customStyle="1" w:styleId="navmenu1">
    <w:name w:val="navmenu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rsid w:val="007974AB"/>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7974AB"/>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7974AB"/>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7974AB"/>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7974AB"/>
    <w:pPr>
      <w:widowControl/>
      <w:jc w:val="left"/>
    </w:pPr>
    <w:rPr>
      <w:rFonts w:ascii="宋体" w:hAnsi="宋体" w:cs="宋体"/>
      <w:kern w:val="0"/>
      <w:sz w:val="24"/>
      <w:szCs w:val="24"/>
    </w:rPr>
  </w:style>
  <w:style w:type="paragraph" w:customStyle="1" w:styleId="smooth-box1">
    <w:name w:val="smooth-box1"/>
    <w:basedOn w:val="a"/>
    <w:uiPriority w:val="99"/>
    <w:rsid w:val="007974AB"/>
    <w:pPr>
      <w:widowControl/>
      <w:spacing w:before="100" w:beforeAutospacing="1" w:after="100" w:afterAutospacing="1"/>
      <w:jc w:val="right"/>
    </w:pPr>
    <w:rPr>
      <w:rFonts w:ascii="宋体" w:hAnsi="宋体" w:cs="宋体"/>
      <w:kern w:val="0"/>
      <w:sz w:val="24"/>
      <w:szCs w:val="24"/>
    </w:rPr>
  </w:style>
  <w:style w:type="paragraph" w:styleId="a6">
    <w:name w:val="Normal (We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1">
    <w:name w:val="hj-easyread-sider-btns-item1"/>
    <w:basedOn w:val="a"/>
    <w:uiPriority w:val="99"/>
    <w:rsid w:val="007974AB"/>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7974AB"/>
    <w:rPr>
      <w:rFonts w:cs="Times New Roman"/>
      <w:shd w:val="clear" w:color="auto" w:fill="auto"/>
    </w:rPr>
  </w:style>
  <w:style w:type="paragraph" w:customStyle="1" w:styleId="tipscontrol-btn1">
    <w:name w:val="tipscontrol-btn1"/>
    <w:basedOn w:val="a"/>
    <w:uiPriority w:val="99"/>
    <w:rsid w:val="007974AB"/>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7974AB"/>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uiPriority w:val="99"/>
    <w:semiHidden/>
    <w:rsid w:val="009F4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locked/>
    <w:rsid w:val="009F404C"/>
    <w:rPr>
      <w:rFonts w:cs="Times New Roman"/>
      <w:sz w:val="18"/>
      <w:szCs w:val="18"/>
    </w:rPr>
  </w:style>
  <w:style w:type="paragraph" w:styleId="a8">
    <w:name w:val="footer"/>
    <w:basedOn w:val="a"/>
    <w:link w:val="Char0"/>
    <w:uiPriority w:val="99"/>
    <w:rsid w:val="009F404C"/>
    <w:pPr>
      <w:tabs>
        <w:tab w:val="center" w:pos="4153"/>
        <w:tab w:val="right" w:pos="8306"/>
      </w:tabs>
      <w:snapToGrid w:val="0"/>
      <w:jc w:val="left"/>
    </w:pPr>
    <w:rPr>
      <w:sz w:val="18"/>
      <w:szCs w:val="18"/>
    </w:rPr>
  </w:style>
  <w:style w:type="character" w:customStyle="1" w:styleId="Char0">
    <w:name w:val="页脚 Char"/>
    <w:basedOn w:val="a0"/>
    <w:link w:val="a8"/>
    <w:uiPriority w:val="99"/>
    <w:locked/>
    <w:rsid w:val="009F404C"/>
    <w:rPr>
      <w:rFonts w:cs="Times New Roman"/>
      <w:sz w:val="18"/>
      <w:szCs w:val="18"/>
    </w:rPr>
  </w:style>
  <w:style w:type="paragraph" w:styleId="a9">
    <w:name w:val="List Paragraph"/>
    <w:basedOn w:val="a"/>
    <w:uiPriority w:val="99"/>
    <w:qFormat/>
    <w:rsid w:val="00F64A66"/>
    <w:pPr>
      <w:ind w:firstLineChars="200" w:firstLine="420"/>
    </w:pPr>
  </w:style>
  <w:style w:type="paragraph" w:customStyle="1" w:styleId="reader-word-layer">
    <w:name w:val="reader-word-layer"/>
    <w:basedOn w:val="a"/>
    <w:uiPriority w:val="99"/>
    <w:rsid w:val="00190E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9859139">
      <w:marLeft w:val="0"/>
      <w:marRight w:val="0"/>
      <w:marTop w:val="0"/>
      <w:marBottom w:val="0"/>
      <w:divBdr>
        <w:top w:val="none" w:sz="0" w:space="0" w:color="auto"/>
        <w:left w:val="none" w:sz="0" w:space="0" w:color="auto"/>
        <w:bottom w:val="none" w:sz="0" w:space="0" w:color="auto"/>
        <w:right w:val="none" w:sz="0" w:space="0" w:color="auto"/>
      </w:divBdr>
    </w:div>
    <w:div w:id="2079859140">
      <w:marLeft w:val="0"/>
      <w:marRight w:val="0"/>
      <w:marTop w:val="0"/>
      <w:marBottom w:val="0"/>
      <w:divBdr>
        <w:top w:val="none" w:sz="0" w:space="0" w:color="auto"/>
        <w:left w:val="none" w:sz="0" w:space="0" w:color="auto"/>
        <w:bottom w:val="none" w:sz="0" w:space="0" w:color="auto"/>
        <w:right w:val="none" w:sz="0" w:space="0" w:color="auto"/>
      </w:divBdr>
      <w:divsChild>
        <w:div w:id="2079859142">
          <w:marLeft w:val="0"/>
          <w:marRight w:val="0"/>
          <w:marTop w:val="0"/>
          <w:marBottom w:val="0"/>
          <w:divBdr>
            <w:top w:val="none" w:sz="0" w:space="0" w:color="auto"/>
            <w:left w:val="none" w:sz="0" w:space="0" w:color="auto"/>
            <w:bottom w:val="none" w:sz="0" w:space="0" w:color="auto"/>
            <w:right w:val="none" w:sz="0" w:space="0" w:color="auto"/>
          </w:divBdr>
        </w:div>
      </w:divsChild>
    </w:div>
    <w:div w:id="2079859141">
      <w:marLeft w:val="0"/>
      <w:marRight w:val="0"/>
      <w:marTop w:val="0"/>
      <w:marBottom w:val="0"/>
      <w:divBdr>
        <w:top w:val="none" w:sz="0" w:space="0" w:color="auto"/>
        <w:left w:val="none" w:sz="0" w:space="0" w:color="auto"/>
        <w:bottom w:val="none" w:sz="0" w:space="0" w:color="auto"/>
        <w:right w:val="none" w:sz="0" w:space="0" w:color="auto"/>
      </w:divBdr>
    </w:div>
    <w:div w:id="2079859143">
      <w:marLeft w:val="0"/>
      <w:marRight w:val="0"/>
      <w:marTop w:val="0"/>
      <w:marBottom w:val="0"/>
      <w:divBdr>
        <w:top w:val="none" w:sz="0" w:space="0" w:color="auto"/>
        <w:left w:val="none" w:sz="0" w:space="0" w:color="auto"/>
        <w:bottom w:val="none" w:sz="0" w:space="0" w:color="auto"/>
        <w:right w:val="none" w:sz="0" w:space="0" w:color="auto"/>
      </w:divBdr>
    </w:div>
    <w:div w:id="207985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7</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dreamsummit</cp:lastModifiedBy>
  <cp:revision>151</cp:revision>
  <cp:lastPrinted>2017-05-23T07:18:00Z</cp:lastPrinted>
  <dcterms:created xsi:type="dcterms:W3CDTF">2015-10-07T02:35:00Z</dcterms:created>
  <dcterms:modified xsi:type="dcterms:W3CDTF">2020-11-27T03:58:00Z</dcterms:modified>
</cp:coreProperties>
</file>