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08" w:afterAutospacing="0" w:line="288" w:lineRule="atLeast"/>
        <w:ind w:left="0" w:right="0" w:firstLine="0"/>
        <w:jc w:val="center"/>
        <w:rPr>
          <w:rFonts w:ascii="open sans" w:hAnsi="open sans" w:eastAsia="open sans" w:cs="open sans"/>
          <w:sz w:val="15"/>
          <w:szCs w:val="15"/>
        </w:rPr>
      </w:pPr>
      <w:r>
        <w:rPr>
          <w:rStyle w:val="4"/>
          <w:rFonts w:hint="eastAsia" w:ascii="宋体" w:hAnsi="宋体" w:eastAsia="宋体" w:cs="宋体"/>
          <w:b/>
          <w:color w:val="333333"/>
          <w:spacing w:val="0"/>
          <w:sz w:val="34"/>
          <w:szCs w:val="34"/>
          <w:shd w:val="clear" w:fill="FFFFFF"/>
        </w:rPr>
        <w:t>目录</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ascii="黑体" w:hAnsi="宋体" w:eastAsia="黑体" w:cs="黑体"/>
          <w:sz w:val="22"/>
          <w:szCs w:val="22"/>
        </w:rPr>
        <w:t>第一部分</w:t>
      </w:r>
      <w:r>
        <w:rPr>
          <w:rFonts w:hint="eastAsia" w:ascii="黑体" w:hAnsi="宋体" w:eastAsia="黑体" w:cs="黑体"/>
          <w:spacing w:val="0"/>
          <w:sz w:val="25"/>
          <w:szCs w:val="25"/>
        </w:rPr>
        <w:t>夷望溪镇概况</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ascii="仿宋_GB2312" w:hAnsi="open sans" w:eastAsia="仿宋_GB2312" w:cs="仿宋_GB2312"/>
          <w:sz w:val="22"/>
          <w:szCs w:val="22"/>
        </w:rPr>
        <w:t>一、部门职责</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二、机构设置</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eastAsia" w:ascii="黑体" w:hAnsi="宋体" w:eastAsia="黑体" w:cs="黑体"/>
          <w:sz w:val="22"/>
          <w:szCs w:val="22"/>
        </w:rPr>
        <w:t>第二部分</w:t>
      </w:r>
      <w:r>
        <w:rPr>
          <w:rFonts w:hint="eastAsia" w:ascii="黑体" w:hAnsi="宋体" w:eastAsia="黑体" w:cs="黑体"/>
          <w:spacing w:val="0"/>
          <w:sz w:val="25"/>
          <w:szCs w:val="25"/>
        </w:rPr>
        <w:t>夷望溪镇</w:t>
      </w:r>
      <w:r>
        <w:rPr>
          <w:rFonts w:hint="default" w:ascii="Times New Roman" w:hAnsi="Times New Roman" w:eastAsia="open sans" w:cs="Times New Roman"/>
          <w:spacing w:val="0"/>
          <w:sz w:val="25"/>
          <w:szCs w:val="25"/>
        </w:rPr>
        <w:t>201</w:t>
      </w:r>
      <w:r>
        <w:rPr>
          <w:rFonts w:hint="eastAsia" w:ascii="黑体" w:hAnsi="宋体" w:eastAsia="黑体" w:cs="黑体"/>
          <w:spacing w:val="0"/>
          <w:sz w:val="25"/>
          <w:szCs w:val="25"/>
        </w:rPr>
        <w:t>8年度部门决算表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一、收入支出决算总表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二、收入决算表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三、支出决算表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四、财政拨款收入支出决算总表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五、一般公共预算财政拨款支出决算表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六、一般公共预算财政拨款基本支出决算表</w:t>
      </w:r>
    </w:p>
    <w:p>
      <w:pPr>
        <w:pStyle w:val="2"/>
        <w:keepNext w:val="0"/>
        <w:keepLines w:val="0"/>
        <w:widowControl/>
        <w:suppressLineNumbers w:val="0"/>
        <w:spacing w:before="0" w:beforeAutospacing="0" w:after="108" w:afterAutospacing="0" w:line="420" w:lineRule="atLeast"/>
        <w:ind w:left="0" w:right="0"/>
        <w:rPr>
          <w:rFonts w:hint="default" w:ascii="仿宋_GB2312" w:hAnsi="open sans" w:eastAsia="仿宋_GB2312" w:cs="仿宋_GB2312"/>
          <w:sz w:val="22"/>
          <w:szCs w:val="22"/>
        </w:rPr>
      </w:pPr>
      <w:r>
        <w:rPr>
          <w:rFonts w:hint="default" w:ascii="仿宋_GB2312" w:hAnsi="open sans" w:eastAsia="仿宋_GB2312" w:cs="仿宋_GB2312"/>
          <w:sz w:val="22"/>
          <w:szCs w:val="22"/>
        </w:rPr>
        <w:t>七、一般公共预算财政拨款</w:t>
      </w:r>
      <w:r>
        <w:rPr>
          <w:rFonts w:ascii="Calibri" w:hAnsi="Calibri" w:eastAsia="open sans" w:cs="Calibri"/>
          <w:sz w:val="22"/>
          <w:szCs w:val="22"/>
        </w:rPr>
        <w:t>“</w:t>
      </w:r>
      <w:r>
        <w:rPr>
          <w:rFonts w:hint="default" w:ascii="仿宋_GB2312" w:hAnsi="open sans" w:eastAsia="仿宋_GB2312" w:cs="仿宋_GB2312"/>
          <w:sz w:val="22"/>
          <w:szCs w:val="22"/>
        </w:rPr>
        <w:t>三公</w:t>
      </w:r>
      <w:r>
        <w:rPr>
          <w:rFonts w:hint="default" w:ascii="Calibri" w:hAnsi="Calibri" w:eastAsia="open sans" w:cs="Calibri"/>
          <w:sz w:val="22"/>
          <w:szCs w:val="22"/>
        </w:rPr>
        <w:t>”</w:t>
      </w:r>
      <w:r>
        <w:rPr>
          <w:rFonts w:hint="default" w:ascii="仿宋_GB2312" w:hAnsi="open sans" w:eastAsia="仿宋_GB2312" w:cs="仿宋_GB2312"/>
          <w:sz w:val="22"/>
          <w:szCs w:val="22"/>
        </w:rPr>
        <w:t>经费支出决算表</w:t>
      </w:r>
    </w:p>
    <w:p>
      <w:pPr>
        <w:pStyle w:val="2"/>
        <w:keepNext w:val="0"/>
        <w:keepLines w:val="0"/>
        <w:widowControl/>
        <w:suppressLineNumbers w:val="0"/>
        <w:spacing w:before="0" w:beforeAutospacing="0" w:after="108" w:afterAutospacing="0" w:line="420" w:lineRule="atLeast"/>
        <w:ind w:left="0" w:right="0"/>
        <w:rPr>
          <w:rFonts w:hint="eastAsia" w:ascii="仿宋_GB2312" w:hAnsi="open sans" w:eastAsia="仿宋_GB2312" w:cs="仿宋_GB2312"/>
          <w:sz w:val="22"/>
          <w:szCs w:val="22"/>
          <w:lang w:eastAsia="zh-CN"/>
        </w:rPr>
      </w:pPr>
      <w:r>
        <w:rPr>
          <w:rFonts w:hint="eastAsia" w:ascii="仿宋_GB2312" w:hAnsi="open sans" w:eastAsia="仿宋_GB2312" w:cs="仿宋_GB2312"/>
          <w:sz w:val="22"/>
          <w:szCs w:val="22"/>
          <w:lang w:eastAsia="zh-CN"/>
        </w:rPr>
        <w:t>八、政府性基金预算收支表</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eastAsia" w:ascii="黑体" w:hAnsi="宋体" w:eastAsia="黑体" w:cs="黑体"/>
          <w:sz w:val="22"/>
          <w:szCs w:val="22"/>
        </w:rPr>
        <w:t>第三部分</w:t>
      </w:r>
      <w:r>
        <w:rPr>
          <w:rFonts w:hint="eastAsia" w:ascii="黑体" w:hAnsi="宋体" w:eastAsia="黑体" w:cs="黑体"/>
          <w:spacing w:val="0"/>
          <w:sz w:val="25"/>
          <w:szCs w:val="25"/>
        </w:rPr>
        <w:t>夷望溪镇</w:t>
      </w:r>
      <w:r>
        <w:rPr>
          <w:rFonts w:hint="default" w:ascii="Times New Roman" w:hAnsi="Times New Roman" w:eastAsia="open sans" w:cs="Times New Roman"/>
          <w:spacing w:val="0"/>
          <w:sz w:val="25"/>
          <w:szCs w:val="25"/>
        </w:rPr>
        <w:t>2018</w:t>
      </w:r>
      <w:r>
        <w:rPr>
          <w:rFonts w:hint="eastAsia" w:ascii="黑体" w:hAnsi="宋体" w:eastAsia="黑体" w:cs="黑体"/>
          <w:spacing w:val="0"/>
          <w:sz w:val="25"/>
          <w:szCs w:val="25"/>
        </w:rPr>
        <w:t>年度部门决算情况说明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一、收入支出决算总体情况说明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二、收入决算情况说明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三、支出决算情况说明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四、财政拨款收入支出决算总体情况说明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五、一般公共预算财政拨款支出决算情况说明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六、一般公共预算财政拨款基本支出决算情况说明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七、一般公共预算财政拨款</w:t>
      </w:r>
      <w:r>
        <w:rPr>
          <w:rFonts w:hint="default" w:ascii="Calibri" w:hAnsi="Calibri" w:eastAsia="open sans" w:cs="Calibri"/>
          <w:sz w:val="22"/>
          <w:szCs w:val="22"/>
        </w:rPr>
        <w:t>“</w:t>
      </w:r>
      <w:r>
        <w:rPr>
          <w:rFonts w:hint="default" w:ascii="仿宋_GB2312" w:hAnsi="open sans" w:eastAsia="仿宋_GB2312" w:cs="仿宋_GB2312"/>
          <w:sz w:val="22"/>
          <w:szCs w:val="22"/>
        </w:rPr>
        <w:t>三公</w:t>
      </w:r>
      <w:r>
        <w:rPr>
          <w:rFonts w:hint="default" w:ascii="Calibri" w:hAnsi="Calibri" w:eastAsia="open sans" w:cs="Calibri"/>
          <w:sz w:val="22"/>
          <w:szCs w:val="22"/>
        </w:rPr>
        <w:t>”</w:t>
      </w:r>
      <w:r>
        <w:rPr>
          <w:rFonts w:hint="default" w:ascii="仿宋_GB2312" w:hAnsi="open sans" w:eastAsia="仿宋_GB2312" w:cs="仿宋_GB2312"/>
          <w:sz w:val="22"/>
          <w:szCs w:val="22"/>
        </w:rPr>
        <w:t>经费支出情况决算情况说明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Fonts w:hint="default" w:ascii="仿宋_GB2312" w:hAnsi="open sans" w:eastAsia="仿宋_GB2312" w:cs="仿宋_GB2312"/>
          <w:sz w:val="22"/>
          <w:szCs w:val="22"/>
        </w:rPr>
        <w:t>八、预算绩效情况说明</w:t>
      </w:r>
    </w:p>
    <w:p>
      <w:pPr>
        <w:pStyle w:val="2"/>
        <w:keepNext w:val="0"/>
        <w:keepLines w:val="0"/>
        <w:widowControl/>
        <w:suppressLineNumbers w:val="0"/>
        <w:spacing w:before="0" w:beforeAutospacing="0" w:after="108" w:afterAutospacing="0" w:line="420" w:lineRule="atLeast"/>
        <w:ind w:left="0" w:right="0"/>
        <w:rPr>
          <w:rFonts w:hint="default" w:ascii="仿宋_GB2312" w:hAnsi="open sans" w:eastAsia="仿宋_GB2312" w:cs="仿宋_GB2312"/>
          <w:sz w:val="22"/>
          <w:szCs w:val="22"/>
        </w:rPr>
      </w:pPr>
      <w:r>
        <w:rPr>
          <w:rFonts w:hint="default" w:ascii="仿宋_GB2312" w:hAnsi="open sans" w:eastAsia="仿宋_GB2312" w:cs="仿宋_GB2312"/>
          <w:sz w:val="22"/>
          <w:szCs w:val="22"/>
        </w:rPr>
        <w:t>九、其他重要事项的情况说明</w:t>
      </w:r>
    </w:p>
    <w:p>
      <w:pPr>
        <w:pStyle w:val="2"/>
        <w:keepNext w:val="0"/>
        <w:keepLines w:val="0"/>
        <w:widowControl/>
        <w:suppressLineNumbers w:val="0"/>
        <w:spacing w:before="0" w:beforeAutospacing="0" w:after="108" w:afterAutospacing="0" w:line="420" w:lineRule="atLeast"/>
        <w:ind w:left="0" w:right="0"/>
        <w:rPr>
          <w:rFonts w:hint="eastAsia" w:ascii="仿宋_GB2312" w:hAnsi="open sans" w:eastAsia="仿宋_GB2312" w:cs="仿宋_GB2312"/>
          <w:sz w:val="22"/>
          <w:szCs w:val="22"/>
          <w:lang w:eastAsia="zh-CN"/>
        </w:rPr>
      </w:pPr>
      <w:r>
        <w:rPr>
          <w:rFonts w:hint="eastAsia" w:ascii="仿宋_GB2312" w:hAnsi="open sans" w:eastAsia="仿宋_GB2312" w:cs="仿宋_GB2312"/>
          <w:sz w:val="22"/>
          <w:szCs w:val="22"/>
          <w:lang w:eastAsia="zh-CN"/>
        </w:rPr>
        <w:t>一）机关运营经费情况说明</w:t>
      </w:r>
    </w:p>
    <w:p>
      <w:pPr>
        <w:pStyle w:val="2"/>
        <w:keepNext w:val="0"/>
        <w:keepLines w:val="0"/>
        <w:widowControl/>
        <w:suppressLineNumbers w:val="0"/>
        <w:spacing w:before="0" w:beforeAutospacing="0" w:after="108" w:afterAutospacing="0" w:line="420" w:lineRule="atLeast"/>
        <w:ind w:left="0" w:right="0"/>
        <w:rPr>
          <w:rFonts w:hint="eastAsia" w:ascii="仿宋_GB2312" w:hAnsi="open sans" w:eastAsia="仿宋_GB2312" w:cs="仿宋_GB2312"/>
          <w:sz w:val="22"/>
          <w:szCs w:val="22"/>
          <w:lang w:eastAsia="zh-CN"/>
        </w:rPr>
      </w:pPr>
      <w:r>
        <w:rPr>
          <w:rFonts w:hint="eastAsia" w:ascii="仿宋_GB2312" w:hAnsi="open sans" w:eastAsia="仿宋_GB2312" w:cs="仿宋_GB2312"/>
          <w:sz w:val="22"/>
          <w:szCs w:val="22"/>
          <w:lang w:eastAsia="zh-CN"/>
        </w:rPr>
        <w:t>二）国有资产占用情况说明</w:t>
      </w:r>
    </w:p>
    <w:p>
      <w:pPr>
        <w:pStyle w:val="2"/>
        <w:keepNext w:val="0"/>
        <w:keepLines w:val="0"/>
        <w:widowControl/>
        <w:suppressLineNumbers w:val="0"/>
        <w:spacing w:before="0" w:beforeAutospacing="0" w:after="108" w:afterAutospacing="0" w:line="420" w:lineRule="atLeast"/>
        <w:ind w:left="0" w:right="0"/>
        <w:rPr>
          <w:rFonts w:hint="eastAsia" w:ascii="仿宋_GB2312" w:hAnsi="open sans" w:eastAsia="仿宋_GB2312" w:cs="仿宋_GB2312"/>
          <w:sz w:val="22"/>
          <w:szCs w:val="22"/>
          <w:lang w:eastAsia="zh-CN"/>
        </w:rPr>
      </w:pPr>
      <w:r>
        <w:rPr>
          <w:rFonts w:hint="eastAsia" w:ascii="仿宋_GB2312" w:hAnsi="open sans" w:eastAsia="仿宋_GB2312" w:cs="仿宋_GB2312"/>
          <w:sz w:val="22"/>
          <w:szCs w:val="22"/>
          <w:lang w:eastAsia="zh-CN"/>
        </w:rPr>
        <w:t>三）举债情况说明</w:t>
      </w:r>
    </w:p>
    <w:p>
      <w:pPr>
        <w:pStyle w:val="2"/>
        <w:keepNext w:val="0"/>
        <w:keepLines w:val="0"/>
        <w:widowControl/>
        <w:suppressLineNumbers w:val="0"/>
        <w:spacing w:before="0" w:beforeAutospacing="0" w:after="108" w:afterAutospacing="0" w:line="420" w:lineRule="atLeast"/>
        <w:ind w:left="0" w:right="0"/>
        <w:rPr>
          <w:rFonts w:hint="eastAsia" w:ascii="仿宋_GB2312" w:hAnsi="open sans" w:eastAsia="仿宋_GB2312" w:cs="仿宋_GB2312"/>
          <w:sz w:val="22"/>
          <w:szCs w:val="22"/>
          <w:lang w:eastAsia="zh-CN"/>
        </w:rPr>
      </w:pPr>
      <w:r>
        <w:rPr>
          <w:rFonts w:hint="eastAsia" w:ascii="仿宋_GB2312" w:hAnsi="open sans" w:eastAsia="仿宋_GB2312" w:cs="仿宋_GB2312"/>
          <w:sz w:val="22"/>
          <w:szCs w:val="22"/>
          <w:lang w:eastAsia="zh-CN"/>
        </w:rPr>
        <w:t>四）政府采购支出情况说明</w:t>
      </w:r>
    </w:p>
    <w:p>
      <w:pPr>
        <w:pStyle w:val="2"/>
        <w:keepNext w:val="0"/>
        <w:keepLines w:val="0"/>
        <w:widowControl/>
        <w:suppressLineNumbers w:val="0"/>
        <w:spacing w:before="0" w:beforeAutospacing="0" w:after="108" w:afterAutospacing="0" w:line="420" w:lineRule="atLeast"/>
        <w:ind w:left="0" w:right="0"/>
        <w:rPr>
          <w:rFonts w:hint="default" w:ascii="open sans" w:hAnsi="open sans" w:eastAsia="open sans" w:cs="open sans"/>
          <w:sz w:val="15"/>
          <w:szCs w:val="15"/>
        </w:rPr>
      </w:pPr>
      <w:r>
        <w:rPr>
          <w:rStyle w:val="4"/>
          <w:rFonts w:hint="eastAsia" w:ascii="黑体" w:hAnsi="宋体" w:eastAsia="黑体" w:cs="黑体"/>
          <w:b/>
          <w:color w:val="333333"/>
          <w:spacing w:val="0"/>
          <w:sz w:val="25"/>
          <w:szCs w:val="25"/>
        </w:rPr>
        <w:t>第四部分名称解释</w:t>
      </w:r>
    </w:p>
    <w:p>
      <w:pPr>
        <w:pStyle w:val="2"/>
        <w:keepNext w:val="0"/>
        <w:keepLines w:val="0"/>
        <w:widowControl/>
        <w:suppressLineNumbers w:val="0"/>
        <w:spacing w:before="0" w:beforeAutospacing="0" w:after="108" w:afterAutospacing="0" w:line="192" w:lineRule="atLeast"/>
        <w:ind w:left="0" w:right="0"/>
        <w:rPr>
          <w:rFonts w:hint="default" w:ascii="open sans" w:hAnsi="open sans" w:eastAsia="open sans" w:cs="open sans"/>
          <w:sz w:val="15"/>
          <w:szCs w:val="15"/>
        </w:rPr>
      </w:pPr>
      <w:r>
        <w:rPr>
          <w:rFonts w:hint="eastAsia" w:ascii="黑体" w:hAnsi="宋体" w:eastAsia="黑体" w:cs="黑体"/>
          <w:sz w:val="25"/>
          <w:szCs w:val="25"/>
        </w:rPr>
        <w:t>第一部分夷望溪镇概况</w:t>
      </w: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r>
        <w:rPr>
          <w:rFonts w:hint="default" w:ascii="仿宋_GB2312" w:hAnsi="open sans" w:eastAsia="仿宋_GB2312" w:cs="仿宋_GB2312"/>
          <w:sz w:val="25"/>
          <w:szCs w:val="25"/>
        </w:rPr>
        <w:t>一、部门职责</w:t>
      </w:r>
    </w:p>
    <w:p>
      <w:pPr>
        <w:pStyle w:val="2"/>
        <w:keepNext w:val="0"/>
        <w:keepLines w:val="0"/>
        <w:widowControl/>
        <w:suppressLineNumbers w:val="0"/>
        <w:spacing w:before="0" w:beforeAutospacing="0" w:after="108" w:afterAutospacing="0" w:line="480" w:lineRule="atLeast"/>
        <w:ind w:left="0" w:right="0" w:firstLine="516"/>
        <w:rPr>
          <w:rFonts w:hint="default" w:ascii="open sans" w:hAnsi="open sans" w:eastAsia="open sans" w:cs="open sans"/>
          <w:sz w:val="15"/>
          <w:szCs w:val="15"/>
        </w:rPr>
      </w:pPr>
      <w:r>
        <w:rPr>
          <w:rFonts w:hint="default" w:ascii="仿宋_GB2312" w:hAnsi="open sans" w:eastAsia="仿宋_GB2312" w:cs="仿宋_GB2312"/>
          <w:sz w:val="25"/>
          <w:szCs w:val="25"/>
        </w:rPr>
        <w:t>夷望溪镇位于桃源县西南，面积295.76平方公里，辖</w:t>
      </w:r>
      <w:r>
        <w:rPr>
          <w:rFonts w:hint="default" w:ascii="Times New Roman" w:hAnsi="Times New Roman" w:eastAsia="仿宋_GB2312" w:cs="Times New Roman"/>
          <w:sz w:val="25"/>
          <w:szCs w:val="25"/>
        </w:rPr>
        <w:t>16</w:t>
      </w:r>
      <w:r>
        <w:rPr>
          <w:rFonts w:hint="default" w:ascii="仿宋_GB2312" w:hAnsi="open sans" w:eastAsia="仿宋_GB2312" w:cs="仿宋_GB2312"/>
          <w:sz w:val="25"/>
          <w:szCs w:val="25"/>
        </w:rPr>
        <w:t>个村（居），</w:t>
      </w:r>
      <w:r>
        <w:rPr>
          <w:rFonts w:hint="default" w:ascii="Times New Roman" w:hAnsi="Times New Roman" w:eastAsia="仿宋_GB2312" w:cs="Times New Roman"/>
          <w:sz w:val="25"/>
          <w:szCs w:val="25"/>
        </w:rPr>
        <w:t>279</w:t>
      </w:r>
      <w:r>
        <w:rPr>
          <w:rFonts w:hint="default" w:ascii="仿宋_GB2312" w:hAnsi="open sans" w:eastAsia="仿宋_GB2312" w:cs="仿宋_GB2312"/>
          <w:sz w:val="25"/>
          <w:szCs w:val="25"/>
        </w:rPr>
        <w:t>个村民组。乡镇总人口</w:t>
      </w:r>
      <w:r>
        <w:rPr>
          <w:rFonts w:hint="default" w:ascii="Times New Roman" w:hAnsi="Times New Roman" w:eastAsia="仿宋_GB2312" w:cs="Times New Roman"/>
          <w:sz w:val="25"/>
          <w:szCs w:val="25"/>
        </w:rPr>
        <w:t>30005</w:t>
      </w:r>
      <w:r>
        <w:rPr>
          <w:rFonts w:hint="default" w:ascii="仿宋_GB2312" w:hAnsi="open sans" w:eastAsia="仿宋_GB2312" w:cs="仿宋_GB2312"/>
          <w:sz w:val="25"/>
          <w:szCs w:val="25"/>
        </w:rPr>
        <w:t>人（农业人口</w:t>
      </w:r>
      <w:r>
        <w:rPr>
          <w:rFonts w:hint="default" w:ascii="Times New Roman" w:hAnsi="Times New Roman" w:eastAsia="仿宋_GB2312" w:cs="Times New Roman"/>
          <w:sz w:val="25"/>
          <w:szCs w:val="25"/>
        </w:rPr>
        <w:t>27195</w:t>
      </w:r>
      <w:r>
        <w:rPr>
          <w:rFonts w:hint="default" w:ascii="仿宋_GB2312" w:hAnsi="open sans" w:eastAsia="仿宋_GB2312" w:cs="仿宋_GB2312"/>
          <w:sz w:val="25"/>
          <w:szCs w:val="25"/>
        </w:rPr>
        <w:t>人），耕地</w:t>
      </w:r>
      <w:r>
        <w:rPr>
          <w:rFonts w:hint="default" w:ascii="Times New Roman" w:hAnsi="Times New Roman" w:eastAsia="仿宋_GB2312" w:cs="Times New Roman"/>
          <w:sz w:val="25"/>
          <w:szCs w:val="25"/>
        </w:rPr>
        <w:t>49289</w:t>
      </w:r>
      <w:r>
        <w:rPr>
          <w:rFonts w:hint="default" w:ascii="仿宋_GB2312" w:hAnsi="open sans" w:eastAsia="仿宋_GB2312" w:cs="仿宋_GB2312"/>
          <w:sz w:val="25"/>
          <w:szCs w:val="25"/>
        </w:rPr>
        <w:t>亩。境内楠竹、杉木、渔业资源丰富，辅以旅游产业（夷望溪）。</w:t>
      </w:r>
    </w:p>
    <w:p>
      <w:pPr>
        <w:pStyle w:val="2"/>
        <w:keepNext w:val="0"/>
        <w:keepLines w:val="0"/>
        <w:widowControl/>
        <w:suppressLineNumbers w:val="0"/>
        <w:spacing w:before="0" w:beforeAutospacing="0" w:after="108" w:afterAutospacing="0" w:line="480" w:lineRule="atLeast"/>
        <w:ind w:left="0" w:right="0" w:firstLine="516"/>
        <w:rPr>
          <w:rFonts w:hint="default" w:ascii="open sans" w:hAnsi="open sans" w:eastAsia="open sans" w:cs="open sans"/>
          <w:sz w:val="15"/>
          <w:szCs w:val="15"/>
        </w:rPr>
      </w:pPr>
      <w:r>
        <w:rPr>
          <w:rFonts w:hint="default" w:ascii="仿宋_GB2312" w:hAnsi="open sans" w:eastAsia="仿宋_GB2312" w:cs="仿宋_GB2312"/>
          <w:sz w:val="25"/>
          <w:szCs w:val="25"/>
        </w:rPr>
        <w:t>夷望溪镇镇政府的职能在于保障本镇人民的政治权利和生命财产安全，监督企业合理开采资源、公平贸易。通过政府管理、制定产业政策、配置资源的方式对本镇经济实行间接控制；同时，还要发挥市场的力量，承担为居民提供公共产品的任务。即政府为确保市场运行畅通、保证公平竞争和公平交易、维护企业合法权益而对企业和市场所进行的管理和监督。</w:t>
      </w: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r>
        <w:rPr>
          <w:rFonts w:hint="default" w:ascii="仿宋_GB2312" w:hAnsi="open sans" w:eastAsia="仿宋_GB2312" w:cs="仿宋_GB2312"/>
          <w:sz w:val="25"/>
          <w:szCs w:val="25"/>
        </w:rPr>
        <w:t>夷望溪镇镇政府的职责在于巩固提高本镇义务教育的质量和水平，改善本镇的教学环境，保障本镇中小学校园内师生的安全，联系民政办等有关部门，做好控辍保学和家庭经济困难学生教育帮扶等基本公共教育服务；推动以新型职业农民为主体的农村实用人才队伍建设，加强成人教育、职业技能培训、就业指导、创业扶持等劳动就业服务；做好本镇以新农合为代表的社会保险服务；落实社会救助、社会福利制度和优抚安置政策，为保障对象提供基本养老服务、残疾人基本保障服务，维护孤寡老人、残疾人、困境儿童等特殊人群和困难群体的基本权益；做好本镇公共卫生、基本医疗、计划生育等基本医疗卫生服务；践行社会主义核心价值观，继承和弘扬中华优秀传统文化，加强对红军纪念碑和爱国教育基地的保护和发展，健全公共文化设施网络，推动村居公共阅读室的健全，鼓励居民读好书、好读书，组织开展群众喜闻乐见的精神娱乐活动。此外，乡镇政府密切关心本地居民的生活安全、生活质量，重点关注环境卫生、环境保护、生态建设、食品安全、社会治安、矛盾纠纷化解、扶贫济困、未成年人保护、消防安全、农村危房改造等方面的情况。</w:t>
      </w: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r>
        <w:rPr>
          <w:rFonts w:hint="default" w:ascii="仿宋_GB2312" w:hAnsi="open sans" w:eastAsia="仿宋_GB2312" w:cs="仿宋_GB2312"/>
          <w:sz w:val="25"/>
          <w:szCs w:val="25"/>
        </w:rPr>
        <w:t>二、机构设置</w:t>
      </w:r>
    </w:p>
    <w:p>
      <w:pPr>
        <w:pStyle w:val="2"/>
        <w:keepNext w:val="0"/>
        <w:keepLines w:val="0"/>
        <w:widowControl/>
        <w:suppressLineNumbers w:val="0"/>
        <w:spacing w:before="0" w:beforeAutospacing="0" w:after="108" w:afterAutospacing="0" w:line="480" w:lineRule="atLeast"/>
        <w:ind w:left="0" w:right="0" w:firstLine="516"/>
        <w:rPr>
          <w:rFonts w:hint="default" w:ascii="open sans" w:hAnsi="open sans" w:eastAsia="open sans" w:cs="open sans"/>
          <w:sz w:val="15"/>
          <w:szCs w:val="15"/>
        </w:rPr>
      </w:pPr>
      <w:r>
        <w:rPr>
          <w:rFonts w:hint="default" w:ascii="仿宋_GB2312" w:hAnsi="open sans" w:eastAsia="仿宋_GB2312" w:cs="仿宋_GB2312"/>
          <w:sz w:val="25"/>
          <w:szCs w:val="25"/>
        </w:rPr>
        <w:t>我镇部门机构包括1个人民政府，</w:t>
      </w:r>
      <w:r>
        <w:rPr>
          <w:rFonts w:hint="default" w:ascii="Times New Roman" w:hAnsi="Times New Roman" w:eastAsia="仿宋_GB2312" w:cs="Times New Roman"/>
          <w:sz w:val="25"/>
          <w:szCs w:val="25"/>
        </w:rPr>
        <w:t>8</w:t>
      </w:r>
      <w:r>
        <w:rPr>
          <w:rFonts w:hint="default" w:ascii="仿宋_GB2312" w:hAnsi="open sans" w:eastAsia="仿宋_GB2312" w:cs="仿宋_GB2312"/>
          <w:sz w:val="25"/>
          <w:szCs w:val="25"/>
        </w:rPr>
        <w:t>个站所、</w:t>
      </w:r>
      <w:r>
        <w:rPr>
          <w:rFonts w:hint="default" w:ascii="Times New Roman" w:hAnsi="Times New Roman" w:eastAsia="仿宋_GB2312" w:cs="Times New Roman"/>
          <w:sz w:val="25"/>
          <w:szCs w:val="25"/>
        </w:rPr>
        <w:t>1</w:t>
      </w:r>
      <w:r>
        <w:rPr>
          <w:rFonts w:hint="default" w:ascii="仿宋_GB2312" w:hAnsi="open sans" w:eastAsia="仿宋_GB2312" w:cs="仿宋_GB2312"/>
          <w:sz w:val="25"/>
          <w:szCs w:val="25"/>
        </w:rPr>
        <w:t>6个村居委员会。分别是夷望溪镇人民政府，水利管理站、综合文化站、农业技术推广服务管理站、民政和劳动保障站、林业管理站、国土规划建设管理所、安全生产监督管理站、计划生育服务所，岩巴嘴村、红鹤村、仙人溪村、牧马口村、桂竹园村、兴隆社区居委会、松林村、龙潭溪村、大同村、夷望溪村、大樟树村、竹园村、简家溪村、一甲城居委会、凌津滩居委会、马石居委会。</w:t>
      </w: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r>
        <w:rPr>
          <w:rFonts w:hint="eastAsia" w:ascii="黑体" w:hAnsi="宋体" w:eastAsia="黑体" w:cs="黑体"/>
          <w:sz w:val="25"/>
          <w:szCs w:val="25"/>
        </w:rPr>
        <w:t>第二部分夷望溪镇</w:t>
      </w:r>
      <w:r>
        <w:rPr>
          <w:rFonts w:hint="default" w:ascii="Times New Roman" w:hAnsi="Times New Roman" w:eastAsia="open sans" w:cs="Times New Roman"/>
          <w:sz w:val="25"/>
          <w:szCs w:val="25"/>
        </w:rPr>
        <w:t>201</w:t>
      </w:r>
      <w:r>
        <w:rPr>
          <w:rFonts w:hint="eastAsia" w:ascii="黑体" w:hAnsi="宋体" w:eastAsia="黑体" w:cs="黑体"/>
          <w:sz w:val="25"/>
          <w:szCs w:val="25"/>
        </w:rPr>
        <w:t>8年度部门决算表</w:t>
      </w: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r>
        <w:rPr>
          <w:rFonts w:hint="eastAsia" w:ascii="黑体" w:hAnsi="宋体" w:eastAsia="黑体" w:cs="黑体"/>
          <w:sz w:val="25"/>
          <w:szCs w:val="25"/>
        </w:rPr>
        <w:t>见附件</w:t>
      </w:r>
    </w:p>
    <w:p>
      <w:pPr>
        <w:pStyle w:val="2"/>
        <w:keepNext w:val="0"/>
        <w:keepLines w:val="0"/>
        <w:widowControl/>
        <w:suppressLineNumbers w:val="0"/>
        <w:spacing w:before="0" w:beforeAutospacing="0" w:after="108" w:afterAutospacing="0" w:line="192" w:lineRule="atLeast"/>
        <w:ind w:left="0" w:right="0"/>
        <w:rPr>
          <w:rFonts w:hint="default" w:ascii="open sans" w:hAnsi="open sans" w:eastAsia="open sans" w:cs="open sans"/>
          <w:sz w:val="15"/>
          <w:szCs w:val="15"/>
        </w:rPr>
      </w:pPr>
      <w:r>
        <w:rPr>
          <w:rFonts w:hint="default" w:ascii="open sans" w:hAnsi="open sans" w:eastAsia="open sans" w:cs="open sans"/>
          <w:sz w:val="15"/>
          <w:szCs w:val="15"/>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open sans" w:hAnsi="open sans" w:eastAsia="open sans" w:cs="open sans"/>
          <w:color w:val="0066CC"/>
          <w:sz w:val="14"/>
          <w:szCs w:val="14"/>
          <w:u w:val="none"/>
        </w:rPr>
        <w:fldChar w:fldCharType="begin"/>
      </w:r>
      <w:r>
        <w:rPr>
          <w:rFonts w:hint="default" w:ascii="open sans" w:hAnsi="open sans" w:eastAsia="open sans" w:cs="open sans"/>
          <w:color w:val="0066CC"/>
          <w:sz w:val="14"/>
          <w:szCs w:val="14"/>
          <w:u w:val="none"/>
        </w:rPr>
        <w:instrText xml:space="preserve"> HYPERLINK "http://10.104.137.194:82/Content/js/ueditor/net/upload/file/20190929/6370538574909848447115871.xls" \o "夷望溪镇2018年度部门决算公开.xls" </w:instrText>
      </w:r>
      <w:r>
        <w:rPr>
          <w:rFonts w:hint="default" w:ascii="open sans" w:hAnsi="open sans" w:eastAsia="open sans" w:cs="open sans"/>
          <w:color w:val="0066CC"/>
          <w:sz w:val="14"/>
          <w:szCs w:val="14"/>
          <w:u w:val="none"/>
        </w:rPr>
        <w:fldChar w:fldCharType="separate"/>
      </w:r>
      <w:r>
        <w:rPr>
          <w:rStyle w:val="5"/>
          <w:rFonts w:hint="default" w:ascii="open sans" w:hAnsi="open sans" w:eastAsia="open sans" w:cs="open sans"/>
          <w:color w:val="0066CC"/>
          <w:sz w:val="14"/>
          <w:szCs w:val="14"/>
          <w:u w:val="none"/>
        </w:rPr>
        <w:t>夷望溪镇2018年度部门决算公开.xls</w:t>
      </w:r>
      <w:r>
        <w:rPr>
          <w:rFonts w:hint="default" w:ascii="open sans" w:hAnsi="open sans" w:eastAsia="open sans" w:cs="open sans"/>
          <w:color w:val="0066CC"/>
          <w:sz w:val="14"/>
          <w:szCs w:val="14"/>
          <w:u w:val="none"/>
        </w:rPr>
        <w:fldChar w:fldCharType="end"/>
      </w: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p>
    <w:p>
      <w:pPr>
        <w:pStyle w:val="2"/>
        <w:keepNext w:val="0"/>
        <w:keepLines w:val="0"/>
        <w:widowControl/>
        <w:suppressLineNumbers w:val="0"/>
        <w:spacing w:before="0" w:beforeAutospacing="0" w:after="108" w:afterAutospacing="0" w:line="480" w:lineRule="atLeast"/>
        <w:ind w:left="0" w:right="0"/>
        <w:rPr>
          <w:rFonts w:hint="default" w:ascii="open sans" w:hAnsi="open sans" w:eastAsia="open sans" w:cs="open sans"/>
          <w:sz w:val="15"/>
          <w:szCs w:val="15"/>
        </w:rPr>
      </w:pPr>
      <w:r>
        <w:rPr>
          <w:rFonts w:hint="eastAsia" w:ascii="黑体" w:hAnsi="宋体" w:eastAsia="黑体" w:cs="黑体"/>
          <w:sz w:val="25"/>
          <w:szCs w:val="25"/>
        </w:rPr>
        <w:t>第三部分夷望溪镇</w:t>
      </w:r>
      <w:r>
        <w:rPr>
          <w:rFonts w:hint="default" w:ascii="Times New Roman" w:hAnsi="Times New Roman" w:eastAsia="open sans" w:cs="Times New Roman"/>
          <w:sz w:val="25"/>
          <w:szCs w:val="25"/>
        </w:rPr>
        <w:t>2018</w:t>
      </w:r>
      <w:r>
        <w:rPr>
          <w:rFonts w:hint="eastAsia" w:ascii="黑体" w:hAnsi="宋体" w:eastAsia="黑体" w:cs="黑体"/>
          <w:sz w:val="25"/>
          <w:szCs w:val="25"/>
        </w:rPr>
        <w:t>年度部门决算情况说明</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一、</w:t>
      </w:r>
      <w:r>
        <w:rPr>
          <w:rFonts w:hint="default" w:ascii="仿宋_GB2312" w:hAnsi="open sans" w:eastAsia="仿宋_GB2312" w:cs="仿宋_GB2312"/>
          <w:color w:val="333333"/>
          <w:spacing w:val="0"/>
          <w:sz w:val="25"/>
          <w:szCs w:val="25"/>
          <w:shd w:val="clear" w:fill="FFFFFF"/>
        </w:rPr>
        <w:t>收入支出决算总体情况说明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2018年夷望溪镇收入总决算数3050.74万元，较2017年收入总决算数1631.97万元增加1418.77万元；2018年夷望溪镇支出总决算数2454.63万元，结转607.11万元，较2017年支出总决算数1630万元增加824.63万元.</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二、</w:t>
      </w:r>
      <w:r>
        <w:rPr>
          <w:rFonts w:hint="default" w:ascii="仿宋_GB2312" w:hAnsi="open sans" w:eastAsia="仿宋_GB2312" w:cs="仿宋_GB2312"/>
          <w:color w:val="333333"/>
          <w:spacing w:val="0"/>
          <w:sz w:val="25"/>
          <w:szCs w:val="25"/>
          <w:shd w:val="clear" w:fill="FFFFFF"/>
        </w:rPr>
        <w:t>收入决算情况说明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2018年收入决算数3050.74万元，其中财政拨款收入3005.13万元，含政府性基金预算财政拨款158.82万元，其他收入45.61万元。收入较去年增加1418.77万元，主要是财政拨款收入增加。</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三、</w:t>
      </w:r>
      <w:r>
        <w:rPr>
          <w:rFonts w:hint="default" w:ascii="仿宋_GB2312" w:hAnsi="open sans" w:eastAsia="仿宋_GB2312" w:cs="仿宋_GB2312"/>
          <w:color w:val="333333"/>
          <w:spacing w:val="0"/>
          <w:sz w:val="25"/>
          <w:szCs w:val="25"/>
          <w:shd w:val="clear" w:fill="FFFFFF"/>
        </w:rPr>
        <w:t>支出决算情况说明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2018年支出决算数2454.63万元，其中，一般公共服务支出780.19万元，文化体育与传媒支出31.76万元，社会保障和就业190.35万元，医疗卫生与计划生育67.67万元，节能环保支出10万元，城乡社区支出87.5万元，农林水支出1109.47万元，资源勘探信息等支出27.31万元，国土海洋气象等支出14.1万元，住房保障12.28万元，其他支出124万元。支出较去年增加824.63万元。</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四、</w:t>
      </w:r>
      <w:r>
        <w:rPr>
          <w:rFonts w:hint="default" w:ascii="仿宋_GB2312" w:hAnsi="open sans" w:eastAsia="仿宋_GB2312" w:cs="仿宋_GB2312"/>
          <w:color w:val="333333"/>
          <w:spacing w:val="0"/>
          <w:sz w:val="25"/>
          <w:szCs w:val="25"/>
          <w:shd w:val="clear" w:fill="FFFFFF"/>
        </w:rPr>
        <w:t>财政拨款收入支出决算总体情况说明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2018年财政拨款收入3005.13万元，含一般公共预算财政拨款2846.31万元，政府性基金预算财政拨款158.82万元。2018年财政拨款支出2409.022295.61万元，含一般公共预算财政拨款支出2250.2万元，政府性基金预算财政拨款支出158.82万元。</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五、</w:t>
      </w:r>
      <w:r>
        <w:rPr>
          <w:rFonts w:hint="default" w:ascii="仿宋_GB2312" w:hAnsi="open sans" w:eastAsia="仿宋_GB2312" w:cs="仿宋_GB2312"/>
          <w:color w:val="333333"/>
          <w:spacing w:val="0"/>
          <w:sz w:val="25"/>
          <w:szCs w:val="25"/>
          <w:shd w:val="clear" w:fill="FFFFFF"/>
        </w:rPr>
        <w:t>一般公共预算财政拨款支出决算情况说明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2018年一般公共预算财政拨款支出决算数2250.2万元，其中，一般公共服务支出780.19万元，文化体育与传媒支出31.76万元，社会保障和就业73.53万元，医疗卫生与计划生育67.67万元，节能环保支出10万元，城乡社区支出87.5万元，农林水支出1060.86万元，交通运输支出13万元，资源勘探信息等支出27.31万元，国土海洋气象等支出14.1万元，住房保障12.28万元，其他支出85万元。</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六、</w:t>
      </w:r>
      <w:r>
        <w:rPr>
          <w:rFonts w:hint="default" w:ascii="仿宋_GB2312" w:hAnsi="open sans" w:eastAsia="仿宋_GB2312" w:cs="仿宋_GB2312"/>
          <w:color w:val="333333"/>
          <w:spacing w:val="0"/>
          <w:sz w:val="25"/>
          <w:szCs w:val="25"/>
          <w:shd w:val="clear" w:fill="FFFFFF"/>
        </w:rPr>
        <w:t>一般公共预算财政拨款基本支出决算情况说明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2018年一般公共预算财政拨款基本支出1138.7万元，其中，工资福利支出530.55万元，商品服务支出232.2万元，对个人和家庭的补助360.94万元。</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七、</w:t>
      </w:r>
      <w:r>
        <w:rPr>
          <w:rFonts w:hint="default" w:ascii="仿宋_GB2312" w:hAnsi="open sans" w:eastAsia="仿宋_GB2312" w:cs="仿宋_GB2312"/>
          <w:color w:val="333333"/>
          <w:spacing w:val="0"/>
          <w:sz w:val="25"/>
          <w:szCs w:val="25"/>
          <w:shd w:val="clear" w:fill="FFFFFF"/>
        </w:rPr>
        <w:t>一般公共预算财政拨款</w:t>
      </w:r>
      <w:r>
        <w:rPr>
          <w:rFonts w:hint="default" w:ascii="Times New Roman" w:hAnsi="Times New Roman" w:eastAsia="open sans" w:cs="Times New Roman"/>
          <w:color w:val="333333"/>
          <w:spacing w:val="0"/>
          <w:sz w:val="25"/>
          <w:szCs w:val="25"/>
          <w:shd w:val="clear" w:fill="FFFFFF"/>
        </w:rPr>
        <w:t>“</w:t>
      </w:r>
      <w:r>
        <w:rPr>
          <w:rFonts w:hint="default" w:ascii="仿宋_GB2312" w:hAnsi="open sans" w:eastAsia="仿宋_GB2312" w:cs="仿宋_GB2312"/>
          <w:color w:val="333333"/>
          <w:spacing w:val="0"/>
          <w:sz w:val="25"/>
          <w:szCs w:val="25"/>
          <w:shd w:val="clear" w:fill="FFFFFF"/>
        </w:rPr>
        <w:t>三公</w:t>
      </w:r>
      <w:r>
        <w:rPr>
          <w:rFonts w:hint="default" w:ascii="Times New Roman" w:hAnsi="Times New Roman" w:eastAsia="open sans" w:cs="Times New Roman"/>
          <w:color w:val="333333"/>
          <w:spacing w:val="0"/>
          <w:sz w:val="25"/>
          <w:szCs w:val="25"/>
          <w:shd w:val="clear" w:fill="FFFFFF"/>
        </w:rPr>
        <w:t>”</w:t>
      </w:r>
      <w:r>
        <w:rPr>
          <w:rFonts w:hint="default" w:ascii="仿宋_GB2312" w:hAnsi="open sans" w:eastAsia="仿宋_GB2312" w:cs="仿宋_GB2312"/>
          <w:color w:val="333333"/>
          <w:spacing w:val="0"/>
          <w:sz w:val="25"/>
          <w:szCs w:val="25"/>
          <w:shd w:val="clear" w:fill="FFFFFF"/>
        </w:rPr>
        <w:t>经费支出情况决算情况说明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eastAsia" w:ascii="open sans" w:hAnsi="open sans" w:eastAsia="宋体" w:cs="open sans"/>
          <w:sz w:val="15"/>
          <w:szCs w:val="15"/>
          <w:lang w:val="en-US" w:eastAsia="zh-CN"/>
        </w:rPr>
      </w:pPr>
      <w:r>
        <w:rPr>
          <w:rFonts w:hint="eastAsia" w:ascii="宋体" w:hAnsi="宋体" w:eastAsia="宋体" w:cs="宋体"/>
          <w:color w:val="333333"/>
          <w:spacing w:val="0"/>
          <w:sz w:val="25"/>
          <w:szCs w:val="25"/>
          <w:shd w:val="clear" w:fill="FFFFFF"/>
        </w:rPr>
        <w:t>2018年一般公共预算财政拨款“三公”经费支出36.25万元，其中，公务用车购置及运行维护费1.75万元，公务接待费34.5万元</w:t>
      </w:r>
      <w:r>
        <w:rPr>
          <w:rFonts w:hint="eastAsia" w:ascii="宋体" w:hAnsi="宋体" w:eastAsia="宋体" w:cs="宋体"/>
          <w:color w:val="333333"/>
          <w:spacing w:val="0"/>
          <w:sz w:val="25"/>
          <w:szCs w:val="25"/>
          <w:shd w:val="clear" w:fill="FFFFFF"/>
          <w:lang w:eastAsia="zh-CN"/>
        </w:rPr>
        <w:t>，接待</w:t>
      </w:r>
      <w:r>
        <w:rPr>
          <w:rFonts w:hint="eastAsia" w:ascii="宋体" w:hAnsi="宋体" w:eastAsia="宋体" w:cs="宋体"/>
          <w:color w:val="333333"/>
          <w:spacing w:val="0"/>
          <w:sz w:val="25"/>
          <w:szCs w:val="25"/>
          <w:shd w:val="clear" w:fill="FFFFFF"/>
          <w:lang w:val="en-US" w:eastAsia="zh-CN"/>
        </w:rPr>
        <w:t>6859人，接待批次688次，</w:t>
      </w:r>
      <w:bookmarkStart w:id="0" w:name="_GoBack"/>
      <w:bookmarkEnd w:id="0"/>
      <w:r>
        <w:rPr>
          <w:rFonts w:hint="eastAsia" w:ascii="宋体" w:hAnsi="宋体" w:eastAsia="宋体" w:cs="宋体"/>
          <w:color w:val="333333"/>
          <w:spacing w:val="0"/>
          <w:sz w:val="25"/>
          <w:szCs w:val="25"/>
          <w:shd w:val="clear" w:fill="FFFFFF"/>
          <w:lang w:eastAsia="zh-CN"/>
        </w:rPr>
        <w:t>因公出国（境）费</w:t>
      </w:r>
      <w:r>
        <w:rPr>
          <w:rFonts w:hint="eastAsia" w:ascii="宋体" w:hAnsi="宋体" w:eastAsia="宋体" w:cs="宋体"/>
          <w:color w:val="333333"/>
          <w:spacing w:val="0"/>
          <w:sz w:val="25"/>
          <w:szCs w:val="25"/>
          <w:shd w:val="clear" w:fill="FFFFFF"/>
          <w:lang w:val="en-US" w:eastAsia="zh-CN"/>
        </w:rPr>
        <w:t>0元。</w:t>
      </w:r>
      <w:r>
        <w:rPr>
          <w:rFonts w:hint="eastAsia" w:ascii="宋体" w:hAnsi="宋体" w:eastAsia="宋体" w:cs="宋体"/>
          <w:color w:val="333333"/>
          <w:spacing w:val="0"/>
          <w:sz w:val="25"/>
          <w:szCs w:val="25"/>
          <w:shd w:val="clear" w:fill="FFFFFF"/>
        </w:rPr>
        <w:t>201</w:t>
      </w:r>
      <w:r>
        <w:rPr>
          <w:rFonts w:hint="eastAsia" w:ascii="宋体" w:hAnsi="宋体" w:eastAsia="宋体" w:cs="宋体"/>
          <w:color w:val="333333"/>
          <w:spacing w:val="0"/>
          <w:sz w:val="25"/>
          <w:szCs w:val="25"/>
          <w:shd w:val="clear" w:fill="FFFFFF"/>
          <w:lang w:val="en-US" w:eastAsia="zh-CN"/>
        </w:rPr>
        <w:t>7</w:t>
      </w:r>
      <w:r>
        <w:rPr>
          <w:rFonts w:hint="eastAsia" w:ascii="宋体" w:hAnsi="宋体" w:eastAsia="宋体" w:cs="宋体"/>
          <w:color w:val="333333"/>
          <w:spacing w:val="0"/>
          <w:sz w:val="25"/>
          <w:szCs w:val="25"/>
          <w:shd w:val="clear" w:fill="FFFFFF"/>
        </w:rPr>
        <w:t>年一般公共预算财政拨款“三公”经费支出3</w:t>
      </w:r>
      <w:r>
        <w:rPr>
          <w:rFonts w:hint="eastAsia" w:ascii="宋体" w:hAnsi="宋体" w:eastAsia="宋体" w:cs="宋体"/>
          <w:color w:val="333333"/>
          <w:spacing w:val="0"/>
          <w:sz w:val="25"/>
          <w:szCs w:val="25"/>
          <w:shd w:val="clear" w:fill="FFFFFF"/>
          <w:lang w:val="en-US" w:eastAsia="zh-CN"/>
        </w:rPr>
        <w:t>7.38</w:t>
      </w:r>
      <w:r>
        <w:rPr>
          <w:rFonts w:hint="eastAsia" w:ascii="宋体" w:hAnsi="宋体" w:eastAsia="宋体" w:cs="宋体"/>
          <w:color w:val="333333"/>
          <w:spacing w:val="0"/>
          <w:sz w:val="25"/>
          <w:szCs w:val="25"/>
          <w:shd w:val="clear" w:fill="FFFFFF"/>
        </w:rPr>
        <w:t>万元</w:t>
      </w:r>
      <w:r>
        <w:rPr>
          <w:rFonts w:hint="eastAsia" w:ascii="宋体" w:hAnsi="宋体" w:eastAsia="宋体" w:cs="宋体"/>
          <w:color w:val="333333"/>
          <w:spacing w:val="0"/>
          <w:sz w:val="25"/>
          <w:szCs w:val="25"/>
          <w:shd w:val="clear" w:fill="FFFFFF"/>
          <w:lang w:eastAsia="zh-CN"/>
        </w:rPr>
        <w:t>，减少</w:t>
      </w:r>
      <w:r>
        <w:rPr>
          <w:rFonts w:hint="eastAsia" w:ascii="宋体" w:hAnsi="宋体" w:eastAsia="宋体" w:cs="宋体"/>
          <w:color w:val="333333"/>
          <w:spacing w:val="0"/>
          <w:sz w:val="25"/>
          <w:szCs w:val="25"/>
          <w:shd w:val="clear" w:fill="FFFFFF"/>
          <w:lang w:val="en-US" w:eastAsia="zh-CN"/>
        </w:rPr>
        <w:t>1.13万元，原因为厉行节约，严格控制公务接待支出。</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default" w:ascii="仿宋_GB2312" w:hAnsi="open sans" w:eastAsia="仿宋_GB2312" w:cs="仿宋_GB2312"/>
          <w:b/>
          <w:color w:val="333333"/>
          <w:spacing w:val="0"/>
          <w:sz w:val="25"/>
          <w:szCs w:val="25"/>
          <w:shd w:val="clear" w:fill="FFFFFF"/>
        </w:rPr>
        <w:t>八、</w:t>
      </w:r>
      <w:r>
        <w:rPr>
          <w:rFonts w:hint="default" w:ascii="仿宋_GB2312" w:hAnsi="open sans" w:eastAsia="仿宋_GB2312" w:cs="仿宋_GB2312"/>
          <w:color w:val="333333"/>
          <w:spacing w:val="0"/>
          <w:sz w:val="25"/>
          <w:szCs w:val="25"/>
          <w:shd w:val="clear" w:fill="FFFFFF"/>
        </w:rPr>
        <w:t>预算绩效开展情况说明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根据新《预算法》中对财政绩效管理的新要求，我镇坚持以提升财政资金绩效为主线，以绩效目标实现为导向，加强财政绩效管理建设，各项收入和支出都基本按预算的目标完成，2018年预算绩效管理取得新成效。现将预算绩效开展情况说明如下：</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（一）年度预算绩效管理工作整体开展情况</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1、探索绩效跟踪监控，加强全过程监控，以预算单位为责任主体，提高财政资金使用的规范性和时效性。</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2、深入开展财政支出绩效评价，并将绩效评价作为改进预算管理和安排以后年度预算的重要依据。</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3、强化评价结果应用，对发现的问题及时改进，加强评价结果与项目资金安排的衔接。</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（二）下一步打算</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2019年，我镇将继续认真贯彻落实新《预算法》，努力推进预算绩效管理工作，开展重点项目、重点领域的绩效评价，提高财政资金的使用效益。</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Fonts w:hint="default" w:ascii="仿宋_GB2312" w:hAnsi="open sans" w:eastAsia="仿宋_GB2312" w:cs="仿宋_GB2312"/>
          <w:color w:val="333333"/>
          <w:spacing w:val="0"/>
          <w:sz w:val="25"/>
          <w:szCs w:val="25"/>
          <w:shd w:val="clear" w:fill="FFFFFF"/>
        </w:rPr>
        <w:t>九、其他重要事项的情况说明</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4"/>
          <w:szCs w:val="24"/>
          <w:shd w:val="clear" w:fill="FFFFFF"/>
        </w:rPr>
        <w:t>（一）机关运行经费支出情况：机关运行经费决算为218.83万元。主要是一般公共预算财政拨款基本支出的日常公用经费，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（二）国有资产占用情况：截至2018 年12 月31 日，本部门共有车辆</w:t>
      </w:r>
      <w:r>
        <w:rPr>
          <w:rFonts w:hint="eastAsia" w:ascii="宋体" w:hAnsi="宋体" w:eastAsia="宋体" w:cs="宋体"/>
          <w:color w:val="333333"/>
          <w:spacing w:val="0"/>
          <w:sz w:val="25"/>
          <w:szCs w:val="25"/>
          <w:shd w:val="clear" w:fill="FFFFFF"/>
          <w:lang w:val="en-US" w:eastAsia="zh-CN"/>
        </w:rPr>
        <w:t>2</w:t>
      </w:r>
      <w:r>
        <w:rPr>
          <w:rFonts w:hint="eastAsia" w:ascii="宋体" w:hAnsi="宋体" w:eastAsia="宋体" w:cs="宋体"/>
          <w:color w:val="333333"/>
          <w:spacing w:val="0"/>
          <w:sz w:val="25"/>
          <w:szCs w:val="25"/>
          <w:shd w:val="clear" w:fill="FFFFFF"/>
        </w:rPr>
        <w:t>辆，属于一般公务用车。</w:t>
      </w:r>
    </w:p>
    <w:p>
      <w:pPr>
        <w:pStyle w:val="2"/>
        <w:keepNext w:val="0"/>
        <w:keepLines w:val="0"/>
        <w:widowControl/>
        <w:suppressLineNumbers w:val="0"/>
        <w:shd w:val="clear" w:fill="FFFFFF"/>
        <w:spacing w:before="0" w:beforeAutospacing="0" w:after="108" w:afterAutospacing="0" w:line="480" w:lineRule="atLeast"/>
        <w:ind w:left="0" w:right="0" w:firstLine="492"/>
        <w:rPr>
          <w:rFonts w:hint="eastAsia" w:ascii="宋体" w:hAnsi="宋体" w:eastAsia="宋体" w:cs="宋体"/>
          <w:color w:val="333333"/>
          <w:spacing w:val="0"/>
          <w:sz w:val="25"/>
          <w:szCs w:val="25"/>
          <w:shd w:val="clear" w:fill="FFFFFF"/>
        </w:rPr>
      </w:pPr>
      <w:r>
        <w:rPr>
          <w:rFonts w:hint="eastAsia" w:ascii="宋体" w:hAnsi="宋体" w:eastAsia="宋体" w:cs="宋体"/>
          <w:color w:val="333333"/>
          <w:spacing w:val="0"/>
          <w:sz w:val="25"/>
          <w:szCs w:val="25"/>
          <w:shd w:val="clear" w:fill="FFFFFF"/>
        </w:rPr>
        <w:t>(三）举借债务情况说明：无举借债务计划。</w:t>
      </w:r>
    </w:p>
    <w:p>
      <w:pPr>
        <w:pStyle w:val="2"/>
        <w:keepNext w:val="0"/>
        <w:keepLines w:val="0"/>
        <w:widowControl/>
        <w:suppressLineNumbers w:val="0"/>
        <w:shd w:val="clear" w:fill="FFFFFF"/>
        <w:spacing w:before="0" w:beforeAutospacing="0" w:after="108" w:afterAutospacing="0" w:line="480" w:lineRule="atLeast"/>
        <w:ind w:left="0" w:right="0" w:firstLine="492"/>
        <w:rPr>
          <w:rFonts w:hint="eastAsia" w:ascii="宋体" w:hAnsi="宋体" w:eastAsia="宋体" w:cs="宋体"/>
          <w:color w:val="333333"/>
          <w:spacing w:val="0"/>
          <w:sz w:val="25"/>
          <w:szCs w:val="25"/>
          <w:shd w:val="clear" w:fill="FFFFFF"/>
          <w:lang w:val="en-US" w:eastAsia="zh-CN"/>
        </w:rPr>
      </w:pPr>
      <w:r>
        <w:rPr>
          <w:rFonts w:hint="eastAsia" w:ascii="宋体" w:hAnsi="宋体" w:eastAsia="宋体" w:cs="宋体"/>
          <w:color w:val="333333"/>
          <w:spacing w:val="0"/>
          <w:sz w:val="25"/>
          <w:szCs w:val="25"/>
          <w:shd w:val="clear" w:fill="FFFFFF"/>
          <w:lang w:eastAsia="zh-CN"/>
        </w:rPr>
        <w:t>（四）本部门</w:t>
      </w:r>
      <w:r>
        <w:rPr>
          <w:rFonts w:hint="eastAsia" w:ascii="宋体" w:hAnsi="宋体" w:eastAsia="宋体" w:cs="宋体"/>
          <w:color w:val="333333"/>
          <w:spacing w:val="0"/>
          <w:sz w:val="25"/>
          <w:szCs w:val="25"/>
          <w:shd w:val="clear" w:fill="FFFFFF"/>
          <w:lang w:val="en-US" w:eastAsia="zh-CN"/>
        </w:rPr>
        <w:t>2018年度政府采购支出总额为0元，其中：政府采购货物支出0元、政府采购工程支出0元、政府采购服务支出0元。</w:t>
      </w:r>
    </w:p>
    <w:p>
      <w:pPr>
        <w:pStyle w:val="2"/>
        <w:keepNext w:val="0"/>
        <w:keepLines w:val="0"/>
        <w:widowControl/>
        <w:suppressLineNumbers w:val="0"/>
        <w:shd w:val="clear" w:fill="FFFFFF"/>
        <w:spacing w:before="0" w:beforeAutospacing="0" w:after="108" w:afterAutospacing="0" w:line="480" w:lineRule="atLeast"/>
        <w:ind w:left="0" w:right="0" w:firstLine="0"/>
        <w:rPr>
          <w:rFonts w:hint="default" w:ascii="open sans" w:hAnsi="open sans" w:eastAsia="open sans" w:cs="open sans"/>
          <w:sz w:val="15"/>
          <w:szCs w:val="15"/>
        </w:rPr>
      </w:pPr>
      <w:r>
        <w:rPr>
          <w:rStyle w:val="4"/>
          <w:rFonts w:hint="eastAsia" w:ascii="黑体" w:hAnsi="宋体" w:eastAsia="黑体" w:cs="黑体"/>
          <w:b/>
          <w:color w:val="333333"/>
          <w:spacing w:val="0"/>
          <w:sz w:val="25"/>
          <w:szCs w:val="25"/>
          <w:shd w:val="clear" w:fill="FFFFFF"/>
        </w:rPr>
        <w:t>第四部分名称解释</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1.基本支出：是指为保障机构正常运转，完成日常工作任务而发生的人员支出和公用支出。</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2.项目支出：是指在基本支出之外为完成特定行政任务和事业发展目标所发生的支出。</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3.“三公”经费：纳入县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pStyle w:val="2"/>
        <w:keepNext w:val="0"/>
        <w:keepLines w:val="0"/>
        <w:widowControl/>
        <w:suppressLineNumbers w:val="0"/>
        <w:shd w:val="clear" w:fill="FFFFFF"/>
        <w:spacing w:before="0" w:beforeAutospacing="0" w:after="108" w:afterAutospacing="0" w:line="480" w:lineRule="atLeast"/>
        <w:ind w:left="0" w:right="0" w:firstLine="492"/>
        <w:rPr>
          <w:rFonts w:hint="default" w:ascii="open sans" w:hAnsi="open sans" w:eastAsia="open sans" w:cs="open sans"/>
          <w:sz w:val="15"/>
          <w:szCs w:val="15"/>
        </w:rPr>
      </w:pPr>
      <w:r>
        <w:rPr>
          <w:rFonts w:hint="eastAsia" w:ascii="宋体" w:hAnsi="宋体" w:eastAsia="宋体" w:cs="宋体"/>
          <w:color w:val="333333"/>
          <w:spacing w:val="0"/>
          <w:sz w:val="25"/>
          <w:szCs w:val="25"/>
          <w:shd w:val="clear" w:fill="FFFFFF"/>
        </w:rPr>
        <w:t>4.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spacing w:before="0" w:beforeAutospacing="0" w:after="108" w:afterAutospacing="0" w:line="357" w:lineRule="atLeast"/>
        <w:ind w:left="0" w:right="0"/>
        <w:rPr>
          <w:rFonts w:hint="default" w:ascii="open sans" w:hAnsi="open sans" w:eastAsia="open sans" w:cs="open sans"/>
          <w:sz w:val="15"/>
          <w:szCs w:val="1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open san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024CD"/>
    <w:rsid w:val="213D268E"/>
    <w:rsid w:val="31581F7E"/>
    <w:rsid w:val="37B76553"/>
    <w:rsid w:val="3D5E02FC"/>
    <w:rsid w:val="4B4E2D4B"/>
    <w:rsid w:val="54681D7A"/>
    <w:rsid w:val="6EEE0375"/>
    <w:rsid w:val="70005E38"/>
    <w:rsid w:val="757C49CF"/>
    <w:rsid w:val="774F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2021-05-13T03:35:00Z</dcterms:created>
  <dc:creator>ASUS</dc:creator>
  <cp:lastModifiedBy>lenovo</cp:lastModifiedBy>
  <dcterms:modified xsi:type="dcterms:W3CDTF">2021-05-24T04:29:59Z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