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hint="eastAsia" w:eastAsia="方正小标宋_GBK" w:cs="方正小标宋_GBK"/>
          <w:kern w:val="0"/>
          <w:sz w:val="72"/>
          <w:szCs w:val="72"/>
          <w:lang w:eastAsia="zh-CN"/>
        </w:rPr>
      </w:pPr>
    </w:p>
    <w:p>
      <w:pPr>
        <w:widowControl/>
        <w:jc w:val="center"/>
        <w:rPr>
          <w:rFonts w:eastAsia="方正小标宋_GBK"/>
          <w:kern w:val="0"/>
          <w:sz w:val="72"/>
          <w:szCs w:val="72"/>
        </w:rPr>
      </w:pPr>
      <w:r>
        <w:rPr>
          <w:rFonts w:hint="eastAsia" w:eastAsia="方正小标宋_GBK" w:cs="方正小标宋_GBK"/>
          <w:kern w:val="0"/>
          <w:sz w:val="72"/>
          <w:szCs w:val="72"/>
          <w:lang w:eastAsia="zh-CN"/>
        </w:rPr>
        <w:t>桃源县理公港镇人民政府</w:t>
      </w:r>
      <w:r>
        <w:rPr>
          <w:rFonts w:hint="eastAsia" w:eastAsia="方正小标宋_GBK" w:cs="方正小标宋_GBK"/>
          <w:kern w:val="0"/>
          <w:sz w:val="72"/>
          <w:szCs w:val="72"/>
          <w:lang w:val="en-US" w:eastAsia="zh-CN"/>
        </w:rPr>
        <w:t>2018</w:t>
      </w:r>
      <w:r>
        <w:rPr>
          <w:rFonts w:hint="eastAsia" w:eastAsia="方正小标宋_GBK" w:cs="方正小标宋_GBK"/>
          <w:kern w:val="0"/>
          <w:sz w:val="72"/>
          <w:szCs w:val="72"/>
        </w:rPr>
        <w:t>年度部门决算</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spacing w:line="600" w:lineRule="exact"/>
        <w:jc w:val="both"/>
        <w:rPr>
          <w:rFonts w:hint="eastAsia" w:eastAsia="黑体" w:cs="黑体"/>
          <w:kern w:val="0"/>
          <w:sz w:val="32"/>
          <w:szCs w:val="32"/>
        </w:rPr>
      </w:pPr>
    </w:p>
    <w:p>
      <w:pPr>
        <w:pStyle w:val="18"/>
        <w:spacing w:line="520" w:lineRule="exact"/>
        <w:jc w:val="center"/>
        <w:rPr>
          <w:sz w:val="56"/>
          <w:szCs w:val="56"/>
        </w:rPr>
      </w:pPr>
      <w:r>
        <w:rPr>
          <w:rFonts w:hint="eastAsia"/>
          <w:sz w:val="56"/>
          <w:szCs w:val="56"/>
        </w:rPr>
        <w:t>目录</w:t>
      </w:r>
    </w:p>
    <w:p>
      <w:pPr>
        <w:pStyle w:val="18"/>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理公港镇人民政府</w:t>
      </w:r>
      <w:r>
        <w:rPr>
          <w:rFonts w:hint="eastAsia"/>
          <w:b/>
          <w:sz w:val="28"/>
          <w:szCs w:val="28"/>
        </w:rPr>
        <w:t>概况</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一、部门职责</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二、机构设置</w:t>
      </w:r>
    </w:p>
    <w:p>
      <w:pPr>
        <w:pStyle w:val="18"/>
        <w:spacing w:line="520" w:lineRule="exact"/>
        <w:rPr>
          <w:rFonts w:ascii="仿宋_GB2312" w:hAnsi="仿宋_GB2312" w:cs="仿宋_GB2312"/>
          <w:b/>
          <w:sz w:val="28"/>
          <w:szCs w:val="28"/>
        </w:rPr>
      </w:pPr>
      <w:r>
        <w:rPr>
          <w:rFonts w:hint="eastAsia"/>
          <w:b/>
          <w:sz w:val="28"/>
          <w:szCs w:val="28"/>
        </w:rPr>
        <w:t>第二部分</w:t>
      </w:r>
      <w:r>
        <w:rPr>
          <w:b/>
          <w:sz w:val="28"/>
          <w:szCs w:val="28"/>
        </w:rPr>
        <w:t>201</w:t>
      </w:r>
      <w:r>
        <w:rPr>
          <w:rFonts w:hint="eastAsia"/>
          <w:b/>
          <w:sz w:val="28"/>
          <w:szCs w:val="28"/>
          <w:lang w:val="en-US" w:eastAsia="zh-CN"/>
        </w:rPr>
        <w:t>8</w:t>
      </w:r>
      <w:r>
        <w:rPr>
          <w:rFonts w:hint="eastAsia"/>
          <w:b/>
          <w:sz w:val="28"/>
          <w:szCs w:val="28"/>
        </w:rPr>
        <w:t>年度部门决算表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二、收入决算表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三、支出决算表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四、财政拨款收入支出决算总表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五、一般公共预算财政拨款支出决算表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六、一般公共预算财政拨款基本支出决算表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七、一般公共预算财政拨款“三公”经费支出决算表</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八、政府性基金预算财政拨款收入支出决算表</w:t>
      </w:r>
    </w:p>
    <w:p>
      <w:pPr>
        <w:pStyle w:val="18"/>
        <w:spacing w:line="520" w:lineRule="exact"/>
        <w:rPr>
          <w:rFonts w:ascii="仿宋_GB2312" w:hAnsi="仿宋_GB2312" w:cs="仿宋_GB2312"/>
          <w:b/>
          <w:sz w:val="28"/>
          <w:szCs w:val="28"/>
        </w:rPr>
      </w:pPr>
      <w:r>
        <w:rPr>
          <w:rFonts w:hint="eastAsia"/>
          <w:b/>
          <w:sz w:val="28"/>
          <w:szCs w:val="28"/>
        </w:rPr>
        <w:t>第三部分</w:t>
      </w:r>
      <w:r>
        <w:rPr>
          <w:b/>
          <w:sz w:val="28"/>
          <w:szCs w:val="28"/>
        </w:rPr>
        <w:t>201</w:t>
      </w:r>
      <w:r>
        <w:rPr>
          <w:rFonts w:hint="eastAsia"/>
          <w:b/>
          <w:sz w:val="28"/>
          <w:szCs w:val="28"/>
          <w:lang w:val="en-US" w:eastAsia="zh-CN"/>
        </w:rPr>
        <w:t>8</w:t>
      </w:r>
      <w:r>
        <w:rPr>
          <w:rFonts w:hint="eastAsia"/>
          <w:b/>
          <w:sz w:val="28"/>
          <w:szCs w:val="28"/>
        </w:rPr>
        <w:t>年度部门决算情况说明</w:t>
      </w:r>
    </w:p>
    <w:p>
      <w:pPr>
        <w:pStyle w:val="18"/>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hint="eastAsia" w:ascii="仿宋_GB2312" w:hAnsi="仿宋_GB2312" w:cs="仿宋_GB2312"/>
          <w:color w:val="000000"/>
          <w:kern w:val="0"/>
          <w:sz w:val="28"/>
          <w:szCs w:val="28"/>
          <w:lang w:eastAsia="zh-CN"/>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lang w:eastAsia="zh-CN"/>
        </w:rPr>
        <w:t>举借债务情况说明</w:t>
      </w:r>
    </w:p>
    <w:p>
      <w:pPr>
        <w:autoSpaceDE w:val="0"/>
        <w:autoSpaceDN w:val="0"/>
        <w:adjustRightInd w:val="0"/>
        <w:spacing w:line="520" w:lineRule="exact"/>
        <w:ind w:firstLine="700" w:firstLineChars="250"/>
        <w:jc w:val="left"/>
        <w:rPr>
          <w:rFonts w:hint="eastAsia"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eastAsia="zh-CN"/>
        </w:rPr>
        <w:t>十一、</w:t>
      </w:r>
      <w:r>
        <w:rPr>
          <w:rFonts w:hint="eastAsia" w:ascii="仿宋_GB2312" w:hAnsi="仿宋_GB2312" w:cs="仿宋_GB2312"/>
          <w:color w:val="000000"/>
          <w:kern w:val="0"/>
          <w:sz w:val="28"/>
          <w:szCs w:val="28"/>
          <w:lang w:val="en-US" w:eastAsia="zh-CN"/>
        </w:rPr>
        <w:t>预算绩效工作开展情况说明</w:t>
      </w:r>
    </w:p>
    <w:p>
      <w:pPr>
        <w:autoSpaceDE w:val="0"/>
        <w:autoSpaceDN w:val="0"/>
        <w:adjustRightInd w:val="0"/>
        <w:spacing w:line="520" w:lineRule="exact"/>
        <w:ind w:firstLine="700" w:firstLineChars="250"/>
        <w:jc w:val="left"/>
        <w:rPr>
          <w:rFonts w:hint="eastAsia"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十二、</w:t>
      </w:r>
      <w:r>
        <w:rPr>
          <w:rFonts w:hint="eastAsia" w:ascii="仿宋_GB2312" w:hAnsi="仿宋_GB2312" w:cs="仿宋_GB2312"/>
          <w:color w:val="000000"/>
          <w:kern w:val="0"/>
          <w:sz w:val="28"/>
          <w:szCs w:val="28"/>
          <w:lang w:eastAsia="zh-CN"/>
        </w:rPr>
        <w:t>其他重要事项说明</w:t>
      </w:r>
    </w:p>
    <w:p>
      <w:pPr>
        <w:autoSpaceDE w:val="0"/>
        <w:autoSpaceDN w:val="0"/>
        <w:adjustRightInd w:val="0"/>
        <w:spacing w:line="520" w:lineRule="exact"/>
        <w:ind w:firstLine="700" w:firstLineChars="250"/>
        <w:jc w:val="left"/>
        <w:rPr>
          <w:rFonts w:hint="eastAsia" w:ascii="仿宋_GB2312" w:hAnsi="仿宋_GB2312" w:cs="仿宋_GB2312"/>
          <w:color w:val="000000"/>
          <w:kern w:val="0"/>
          <w:sz w:val="28"/>
          <w:szCs w:val="28"/>
          <w:lang w:eastAsia="zh-CN"/>
        </w:rPr>
      </w:pPr>
    </w:p>
    <w:p>
      <w:pPr>
        <w:autoSpaceDE w:val="0"/>
        <w:autoSpaceDN w:val="0"/>
        <w:adjustRightInd w:val="0"/>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第四部分名词解释</w:t>
      </w:r>
    </w:p>
    <w:p>
      <w:pPr>
        <w:pStyle w:val="18"/>
        <w:jc w:val="center"/>
        <w:rPr>
          <w:rFonts w:hint="eastAsia"/>
          <w:sz w:val="84"/>
          <w:szCs w:val="84"/>
        </w:rPr>
      </w:pPr>
    </w:p>
    <w:p>
      <w:pPr>
        <w:pStyle w:val="18"/>
        <w:jc w:val="center"/>
        <w:rPr>
          <w:rFonts w:hint="eastAsia"/>
          <w:sz w:val="84"/>
          <w:szCs w:val="84"/>
        </w:rPr>
      </w:pPr>
    </w:p>
    <w:p>
      <w:pPr>
        <w:pStyle w:val="18"/>
        <w:jc w:val="center"/>
        <w:rPr>
          <w:rFonts w:hint="eastAsia"/>
          <w:sz w:val="84"/>
          <w:szCs w:val="84"/>
        </w:rPr>
      </w:pPr>
    </w:p>
    <w:p>
      <w:pPr>
        <w:pStyle w:val="18"/>
        <w:jc w:val="both"/>
        <w:rPr>
          <w:rFonts w:hint="eastAsia"/>
          <w:sz w:val="84"/>
          <w:szCs w:val="84"/>
        </w:rPr>
      </w:pPr>
    </w:p>
    <w:p>
      <w:pPr>
        <w:pStyle w:val="18"/>
        <w:jc w:val="center"/>
        <w:rPr>
          <w:sz w:val="84"/>
          <w:szCs w:val="84"/>
        </w:rPr>
      </w:pPr>
      <w:r>
        <w:rPr>
          <w:rFonts w:hint="eastAsia"/>
          <w:sz w:val="84"/>
          <w:szCs w:val="84"/>
        </w:rPr>
        <w:t>第一部分</w:t>
      </w:r>
      <w:r>
        <w:rPr>
          <w:sz w:val="84"/>
          <w:szCs w:val="84"/>
        </w:rPr>
        <w:t xml:space="preserve"> </w:t>
      </w:r>
    </w:p>
    <w:p>
      <w:pPr>
        <w:pStyle w:val="18"/>
        <w:jc w:val="center"/>
        <w:rPr>
          <w:sz w:val="84"/>
          <w:szCs w:val="84"/>
        </w:rPr>
      </w:pPr>
    </w:p>
    <w:p>
      <w:pPr>
        <w:pStyle w:val="18"/>
        <w:jc w:val="center"/>
        <w:rPr>
          <w:rFonts w:hint="eastAsia"/>
          <w:sz w:val="84"/>
          <w:szCs w:val="84"/>
          <w:lang w:eastAsia="zh-CN"/>
        </w:rPr>
      </w:pPr>
      <w:r>
        <w:rPr>
          <w:rFonts w:hint="eastAsia"/>
          <w:sz w:val="84"/>
          <w:szCs w:val="84"/>
          <w:lang w:eastAsia="zh-CN"/>
        </w:rPr>
        <w:t>理公港镇人民政府</w:t>
      </w:r>
    </w:p>
    <w:p>
      <w:pPr>
        <w:pStyle w:val="18"/>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9"/>
        <w:numPr>
          <w:ilvl w:val="0"/>
          <w:numId w:val="0"/>
        </w:numPr>
        <w:ind w:leftChars="0"/>
        <w:jc w:val="left"/>
        <w:rPr>
          <w:rFonts w:ascii="黑体" w:eastAsia="黑体"/>
          <w:sz w:val="32"/>
          <w:szCs w:val="32"/>
        </w:rPr>
      </w:pPr>
    </w:p>
    <w:p>
      <w:pPr>
        <w:pStyle w:val="19"/>
        <w:numPr>
          <w:ilvl w:val="0"/>
          <w:numId w:val="0"/>
        </w:numPr>
        <w:ind w:leftChars="0"/>
        <w:jc w:val="left"/>
        <w:rPr>
          <w:rFonts w:hint="eastAsia" w:ascii="黑体" w:eastAsia="黑体"/>
          <w:sz w:val="32"/>
          <w:szCs w:val="32"/>
          <w:lang w:eastAsia="zh-CN"/>
        </w:rPr>
      </w:pPr>
    </w:p>
    <w:p>
      <w:pPr>
        <w:pStyle w:val="19"/>
        <w:numPr>
          <w:ilvl w:val="0"/>
          <w:numId w:val="0"/>
        </w:numPr>
        <w:ind w:leftChars="0"/>
        <w:jc w:val="left"/>
        <w:rPr>
          <w:rFonts w:hint="eastAsia" w:ascii="黑体" w:eastAsia="黑体"/>
          <w:sz w:val="32"/>
          <w:szCs w:val="32"/>
          <w:lang w:eastAsia="zh-CN"/>
        </w:rPr>
      </w:pPr>
    </w:p>
    <w:p>
      <w:pPr>
        <w:pStyle w:val="19"/>
        <w:numPr>
          <w:ilvl w:val="0"/>
          <w:numId w:val="0"/>
        </w:numPr>
        <w:ind w:leftChars="0"/>
        <w:jc w:val="left"/>
        <w:rPr>
          <w:rFonts w:ascii="黑体" w:eastAsia="黑体"/>
          <w:sz w:val="32"/>
          <w:szCs w:val="32"/>
        </w:rPr>
      </w:pPr>
      <w:r>
        <w:rPr>
          <w:rFonts w:hint="eastAsia" w:ascii="黑体" w:eastAsia="黑体"/>
          <w:sz w:val="32"/>
          <w:szCs w:val="32"/>
          <w:lang w:eastAsia="zh-CN"/>
        </w:rPr>
        <w:t>一、</w:t>
      </w:r>
      <w:r>
        <w:rPr>
          <w:rFonts w:ascii="黑体" w:eastAsia="黑体"/>
          <w:sz w:val="32"/>
          <w:szCs w:val="32"/>
        </w:rPr>
        <w:t>部门职责</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32"/>
        </w:rPr>
      </w:pPr>
      <w:r>
        <w:rPr>
          <w:rFonts w:hint="eastAsia" w:ascii="宋体" w:hAnsi="宋体" w:eastAsia="宋体" w:cs="宋体"/>
          <w:sz w:val="28"/>
          <w:szCs w:val="28"/>
          <w:lang w:eastAsia="zh-CN"/>
        </w:rPr>
        <w:t>乡镇</w:t>
      </w:r>
      <w:r>
        <w:rPr>
          <w:rFonts w:hint="eastAsia" w:ascii="宋体" w:hAnsi="宋体" w:eastAsia="宋体" w:cs="宋体"/>
          <w:sz w:val="28"/>
          <w:szCs w:val="28"/>
        </w:rPr>
        <w:t>机关要贯彻落实党和国家在城市社区的各项方针政策和法律法规，做好社区居民群众工作。现阶段应主要围绕促进经济发展、增加居民收入，强化公共服务、着力改善民生，加强社会管理履行职能。按照中央和省、市有关文件精神，进一步加强民政、社会保障、文化综合服务、食品安全监管、社会管理、综治维稳等工作，并在内设机构或事业站所的主要职责中予以明确。</w:t>
      </w:r>
    </w:p>
    <w:p>
      <w:pPr>
        <w:widowControl/>
        <w:spacing w:line="600" w:lineRule="exact"/>
        <w:rPr>
          <w:rFonts w:ascii="黑体" w:eastAsia="黑体"/>
          <w:bCs/>
          <w:kern w:val="0"/>
          <w:sz w:val="32"/>
          <w:szCs w:val="32"/>
        </w:rPr>
      </w:pPr>
      <w:r>
        <w:rPr>
          <w:rFonts w:hint="eastAsia" w:ascii="黑体" w:eastAsia="黑体"/>
          <w:bCs/>
          <w:kern w:val="0"/>
          <w:sz w:val="32"/>
          <w:szCs w:val="32"/>
        </w:rPr>
        <w:t>二、机构设置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根据编委核定，从预算单位构成看，我单位部门预算既包括</w:t>
      </w:r>
      <w:r>
        <w:rPr>
          <w:rFonts w:hint="eastAsia" w:ascii="宋体" w:hAnsi="宋体" w:eastAsia="宋体" w:cs="宋体"/>
          <w:sz w:val="28"/>
          <w:szCs w:val="28"/>
          <w:lang w:eastAsia="zh-CN"/>
        </w:rPr>
        <w:t>乡镇</w:t>
      </w:r>
      <w:r>
        <w:rPr>
          <w:rFonts w:hint="eastAsia" w:ascii="宋体" w:hAnsi="宋体" w:eastAsia="宋体" w:cs="宋体"/>
          <w:sz w:val="28"/>
          <w:szCs w:val="28"/>
        </w:rPr>
        <w:t>机关本级预算，下设民政和劳动保障站、</w:t>
      </w:r>
      <w:r>
        <w:rPr>
          <w:rFonts w:hint="eastAsia" w:ascii="宋体" w:hAnsi="宋体" w:eastAsia="宋体" w:cs="宋体"/>
          <w:sz w:val="28"/>
          <w:szCs w:val="28"/>
          <w:lang w:eastAsia="zh-CN"/>
        </w:rPr>
        <w:t>安全生产监督管理所、国土规划建设管理所、林业管理站、水利管理站、农业和农村经营管理服务站、综合文化站、卫生</w:t>
      </w:r>
      <w:r>
        <w:rPr>
          <w:rFonts w:hint="eastAsia" w:ascii="宋体" w:hAnsi="宋体" w:eastAsia="宋体" w:cs="宋体"/>
          <w:sz w:val="28"/>
          <w:szCs w:val="28"/>
        </w:rPr>
        <w:t>计划生育</w:t>
      </w:r>
      <w:r>
        <w:rPr>
          <w:rFonts w:hint="eastAsia" w:ascii="宋体" w:hAnsi="宋体" w:eastAsia="宋体" w:cs="宋体"/>
          <w:sz w:val="28"/>
          <w:szCs w:val="28"/>
          <w:lang w:eastAsia="zh-CN"/>
        </w:rPr>
        <w:t>监督管理</w:t>
      </w:r>
      <w:r>
        <w:rPr>
          <w:rFonts w:hint="eastAsia" w:ascii="宋体" w:hAnsi="宋体" w:eastAsia="宋体" w:cs="宋体"/>
          <w:sz w:val="28"/>
          <w:szCs w:val="28"/>
        </w:rPr>
        <w:t>所，还包括下属的</w:t>
      </w:r>
      <w:r>
        <w:rPr>
          <w:rFonts w:hint="eastAsia" w:ascii="宋体" w:hAnsi="宋体" w:eastAsia="宋体" w:cs="宋体"/>
          <w:sz w:val="28"/>
          <w:szCs w:val="28"/>
          <w:lang w:eastAsia="zh-CN"/>
        </w:rPr>
        <w:t>十七</w:t>
      </w:r>
      <w:r>
        <w:rPr>
          <w:rFonts w:hint="eastAsia" w:ascii="宋体" w:hAnsi="宋体" w:eastAsia="宋体" w:cs="宋体"/>
          <w:sz w:val="28"/>
          <w:szCs w:val="28"/>
        </w:rPr>
        <w:t>个社区居民委员会。</w:t>
      </w: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pStyle w:val="18"/>
        <w:jc w:val="center"/>
        <w:rPr>
          <w:rFonts w:hint="eastAsia"/>
          <w:sz w:val="72"/>
          <w:szCs w:val="72"/>
        </w:rPr>
      </w:pPr>
    </w:p>
    <w:p>
      <w:pPr>
        <w:pStyle w:val="18"/>
        <w:jc w:val="center"/>
        <w:rPr>
          <w:rFonts w:hint="eastAsia"/>
          <w:sz w:val="72"/>
          <w:szCs w:val="72"/>
        </w:rPr>
      </w:pPr>
    </w:p>
    <w:p>
      <w:pPr>
        <w:pStyle w:val="18"/>
        <w:jc w:val="center"/>
        <w:rPr>
          <w:rFonts w:hint="eastAsia"/>
          <w:sz w:val="72"/>
          <w:szCs w:val="72"/>
        </w:rPr>
      </w:pPr>
    </w:p>
    <w:p>
      <w:pPr>
        <w:pStyle w:val="18"/>
        <w:jc w:val="center"/>
        <w:rPr>
          <w:rFonts w:hint="eastAsia"/>
          <w:sz w:val="72"/>
          <w:szCs w:val="72"/>
        </w:rPr>
      </w:pPr>
    </w:p>
    <w:p>
      <w:pPr>
        <w:pStyle w:val="18"/>
        <w:jc w:val="center"/>
        <w:rPr>
          <w:rFonts w:hint="eastAsia"/>
          <w:sz w:val="72"/>
          <w:szCs w:val="72"/>
        </w:rPr>
      </w:pPr>
    </w:p>
    <w:p>
      <w:pPr>
        <w:pStyle w:val="18"/>
        <w:jc w:val="center"/>
        <w:rPr>
          <w:sz w:val="72"/>
          <w:szCs w:val="72"/>
        </w:rPr>
      </w:pPr>
      <w:r>
        <w:rPr>
          <w:rFonts w:hint="eastAsia"/>
          <w:sz w:val="72"/>
          <w:szCs w:val="72"/>
        </w:rPr>
        <w:t>第三部分</w:t>
      </w:r>
    </w:p>
    <w:p>
      <w:pPr>
        <w:pStyle w:val="18"/>
        <w:jc w:val="center"/>
        <w:rPr>
          <w:sz w:val="70"/>
          <w:szCs w:val="70"/>
        </w:rPr>
      </w:pPr>
    </w:p>
    <w:p>
      <w:pPr>
        <w:pStyle w:val="18"/>
        <w:jc w:val="center"/>
        <w:rPr>
          <w:sz w:val="70"/>
          <w:szCs w:val="70"/>
        </w:rPr>
      </w:pPr>
      <w:r>
        <w:rPr>
          <w:sz w:val="70"/>
          <w:szCs w:val="70"/>
        </w:rPr>
        <w:t>201</w:t>
      </w:r>
      <w:r>
        <w:rPr>
          <w:rFonts w:hint="eastAsia"/>
          <w:sz w:val="70"/>
          <w:szCs w:val="70"/>
          <w:lang w:val="en-US" w:eastAsia="zh-CN"/>
        </w:rPr>
        <w:t>8</w:t>
      </w:r>
      <w:r>
        <w:rPr>
          <w:rFonts w:hint="eastAsia"/>
          <w:sz w:val="70"/>
          <w:szCs w:val="70"/>
        </w:rPr>
        <w:t>年度部门决算情况说明</w:t>
      </w: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eastAsia="黑体"/>
          <w:kern w:val="0"/>
          <w:sz w:val="32"/>
          <w:szCs w:val="32"/>
        </w:rPr>
      </w:pPr>
      <w:r>
        <w:rPr>
          <w:rFonts w:hint="eastAsia" w:eastAsia="黑体" w:cs="黑体"/>
          <w:kern w:val="0"/>
          <w:sz w:val="32"/>
          <w:szCs w:val="32"/>
        </w:rPr>
        <w:t>第三部分</w:t>
      </w:r>
      <w:r>
        <w:rPr>
          <w:rFonts w:eastAsia="黑体"/>
          <w:kern w:val="0"/>
          <w:sz w:val="32"/>
          <w:szCs w:val="32"/>
        </w:rPr>
        <w:t xml:space="preserve">  </w:t>
      </w:r>
      <w:r>
        <w:rPr>
          <w:rFonts w:hint="eastAsia" w:eastAsia="黑体"/>
          <w:kern w:val="0"/>
          <w:sz w:val="32"/>
          <w:szCs w:val="32"/>
          <w:lang w:eastAsia="zh-CN"/>
        </w:rPr>
        <w:t>理公港镇</w:t>
      </w:r>
      <w:r>
        <w:rPr>
          <w:rFonts w:eastAsia="黑体"/>
          <w:kern w:val="0"/>
          <w:sz w:val="32"/>
          <w:szCs w:val="32"/>
        </w:rPr>
        <w:t>2018</w:t>
      </w:r>
      <w:r>
        <w:rPr>
          <w:rFonts w:hint="eastAsia" w:eastAsia="黑体" w:cs="黑体"/>
          <w:kern w:val="0"/>
          <w:sz w:val="32"/>
          <w:szCs w:val="32"/>
        </w:rPr>
        <w:t>年度部门决算情况说明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一、收入支出决算总体情况说明</w:t>
      </w:r>
    </w:p>
    <w:p>
      <w:pPr>
        <w:widowControl/>
        <w:wordWrap/>
        <w:snapToGrid w:val="0"/>
        <w:spacing w:before="0" w:after="0" w:line="300" w:lineRule="auto"/>
        <w:ind w:left="0" w:leftChars="0" w:right="0"/>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 xml:space="preserve">    2017年度决算收入为1821.48万元，本年度决算收入为2147.35万元，比上年度增加325.87万元。主要原因为本年度内财政拨款收入增加。</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二、收入决算情况说明</w:t>
      </w:r>
    </w:p>
    <w:p>
      <w:pPr>
        <w:wordWrap/>
        <w:autoSpaceDN w:val="0"/>
        <w:snapToGrid w:val="0"/>
        <w:spacing w:before="0" w:after="0" w:line="300" w:lineRule="auto"/>
        <w:ind w:left="0" w:leftChars="0" w:right="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lang w:eastAsia="zh-CN"/>
        </w:rPr>
        <w:t>本年度收入</w:t>
      </w:r>
      <w:r>
        <w:rPr>
          <w:rFonts w:hint="eastAsia" w:ascii="仿宋" w:hAnsi="仿宋" w:eastAsia="仿宋" w:cs="仿宋"/>
          <w:kern w:val="2"/>
          <w:sz w:val="24"/>
          <w:szCs w:val="24"/>
          <w:lang w:val="en-US" w:eastAsia="zh-CN"/>
        </w:rPr>
        <w:t>2147.35万元</w:t>
      </w:r>
      <w:r>
        <w:rPr>
          <w:rFonts w:hint="eastAsia" w:ascii="仿宋" w:hAnsi="仿宋" w:eastAsia="仿宋" w:cs="仿宋"/>
          <w:kern w:val="2"/>
          <w:sz w:val="24"/>
          <w:szCs w:val="24"/>
          <w:lang w:eastAsia="zh-CN"/>
        </w:rPr>
        <w:t>，其中：</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财政拨款收入</w:t>
      </w:r>
      <w:r>
        <w:rPr>
          <w:rFonts w:hint="eastAsia" w:ascii="仿宋" w:hAnsi="仿宋" w:eastAsia="仿宋" w:cs="仿宋"/>
          <w:kern w:val="2"/>
          <w:sz w:val="24"/>
          <w:szCs w:val="24"/>
          <w:lang w:val="en-US" w:eastAsia="zh-CN"/>
        </w:rPr>
        <w:t>2114.95万</w:t>
      </w:r>
      <w:r>
        <w:rPr>
          <w:rFonts w:hint="eastAsia" w:ascii="仿宋" w:hAnsi="仿宋" w:eastAsia="仿宋" w:cs="仿宋"/>
          <w:kern w:val="2"/>
          <w:sz w:val="24"/>
          <w:szCs w:val="24"/>
          <w:lang w:eastAsia="zh-CN"/>
        </w:rPr>
        <w:t>元，占总收入的</w:t>
      </w:r>
      <w:r>
        <w:rPr>
          <w:rFonts w:hint="eastAsia" w:ascii="仿宋" w:hAnsi="仿宋" w:eastAsia="仿宋" w:cs="仿宋"/>
          <w:kern w:val="2"/>
          <w:sz w:val="24"/>
          <w:szCs w:val="24"/>
          <w:lang w:val="en-US" w:eastAsia="zh-CN"/>
        </w:rPr>
        <w:t>98.49</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其他收入</w:t>
      </w:r>
      <w:r>
        <w:rPr>
          <w:rFonts w:hint="eastAsia" w:ascii="仿宋" w:hAnsi="仿宋" w:eastAsia="仿宋" w:cs="仿宋"/>
          <w:kern w:val="2"/>
          <w:sz w:val="24"/>
          <w:szCs w:val="24"/>
          <w:lang w:val="en-US" w:eastAsia="zh-CN"/>
        </w:rPr>
        <w:t>32.4</w:t>
      </w:r>
      <w:r>
        <w:rPr>
          <w:rFonts w:hint="eastAsia" w:ascii="仿宋" w:hAnsi="仿宋" w:eastAsia="仿宋" w:cs="仿宋"/>
          <w:kern w:val="2"/>
          <w:sz w:val="24"/>
          <w:szCs w:val="24"/>
          <w:lang w:eastAsia="zh-CN"/>
        </w:rPr>
        <w:t>万元，占总收入的</w:t>
      </w:r>
      <w:r>
        <w:rPr>
          <w:rFonts w:hint="eastAsia" w:ascii="仿宋" w:hAnsi="仿宋" w:eastAsia="仿宋" w:cs="仿宋"/>
          <w:kern w:val="2"/>
          <w:sz w:val="24"/>
          <w:szCs w:val="24"/>
          <w:lang w:val="en-US" w:eastAsia="zh-CN"/>
        </w:rPr>
        <w:t>1.51</w:t>
      </w:r>
      <w:r>
        <w:rPr>
          <w:rFonts w:hint="eastAsia" w:ascii="仿宋" w:hAnsi="仿宋" w:eastAsia="仿宋" w:cs="仿宋"/>
          <w:kern w:val="2"/>
          <w:sz w:val="24"/>
          <w:szCs w:val="24"/>
          <w:lang w:eastAsia="zh-CN"/>
        </w:rPr>
        <w:t>%。</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三、支出决算情况说明</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本年度支出</w:t>
      </w:r>
      <w:r>
        <w:rPr>
          <w:rFonts w:hint="eastAsia" w:ascii="仿宋" w:hAnsi="仿宋" w:eastAsia="仿宋" w:cs="仿宋"/>
          <w:kern w:val="2"/>
          <w:sz w:val="24"/>
          <w:szCs w:val="24"/>
          <w:lang w:val="en-US" w:eastAsia="zh-CN"/>
        </w:rPr>
        <w:t>1884.63万</w:t>
      </w:r>
      <w:r>
        <w:rPr>
          <w:rFonts w:hint="eastAsia" w:ascii="仿宋" w:hAnsi="仿宋" w:eastAsia="仿宋" w:cs="仿宋"/>
          <w:kern w:val="2"/>
          <w:sz w:val="24"/>
          <w:szCs w:val="24"/>
          <w:lang w:eastAsia="zh-CN"/>
        </w:rPr>
        <w:t>元，其中：</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一般公共服务支出</w:t>
      </w:r>
      <w:r>
        <w:rPr>
          <w:rFonts w:hint="eastAsia" w:ascii="仿宋" w:hAnsi="仿宋" w:eastAsia="仿宋" w:cs="仿宋"/>
          <w:kern w:val="2"/>
          <w:sz w:val="24"/>
          <w:szCs w:val="24"/>
          <w:lang w:val="en-US" w:eastAsia="zh-CN"/>
        </w:rPr>
        <w:t>452.79万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24.03</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文化体育与传媒支出</w:t>
      </w:r>
      <w:r>
        <w:rPr>
          <w:rFonts w:hint="eastAsia" w:ascii="仿宋" w:hAnsi="仿宋" w:eastAsia="仿宋" w:cs="仿宋"/>
          <w:kern w:val="2"/>
          <w:sz w:val="24"/>
          <w:szCs w:val="24"/>
          <w:lang w:val="en-US" w:eastAsia="zh-CN"/>
        </w:rPr>
        <w:t>20.78</w:t>
      </w:r>
      <w:r>
        <w:rPr>
          <w:rFonts w:hint="eastAsia" w:ascii="仿宋" w:hAnsi="仿宋" w:eastAsia="仿宋" w:cs="仿宋"/>
          <w:kern w:val="2"/>
          <w:sz w:val="24"/>
          <w:szCs w:val="24"/>
          <w:lang w:eastAsia="zh-CN"/>
        </w:rPr>
        <w:t>万元，占总支出的1.</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社会保障和就业支出</w:t>
      </w:r>
      <w:r>
        <w:rPr>
          <w:rFonts w:hint="eastAsia" w:ascii="仿宋" w:hAnsi="仿宋" w:eastAsia="仿宋" w:cs="仿宋"/>
          <w:kern w:val="2"/>
          <w:sz w:val="24"/>
          <w:szCs w:val="24"/>
          <w:lang w:val="en-US" w:eastAsia="zh-CN"/>
        </w:rPr>
        <w:t>53.21万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2.82</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医疗卫生支出</w:t>
      </w:r>
      <w:r>
        <w:rPr>
          <w:rFonts w:hint="eastAsia" w:ascii="仿宋" w:hAnsi="仿宋" w:eastAsia="仿宋" w:cs="仿宋"/>
          <w:kern w:val="2"/>
          <w:sz w:val="24"/>
          <w:szCs w:val="24"/>
          <w:lang w:val="en-US" w:eastAsia="zh-CN"/>
        </w:rPr>
        <w:t>67.58万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3.59</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城乡社区事务支出</w:t>
      </w:r>
      <w:r>
        <w:rPr>
          <w:rFonts w:hint="eastAsia" w:ascii="仿宋" w:hAnsi="仿宋" w:eastAsia="仿宋" w:cs="仿宋"/>
          <w:kern w:val="2"/>
          <w:sz w:val="24"/>
          <w:szCs w:val="24"/>
          <w:lang w:val="en-US" w:eastAsia="zh-CN"/>
        </w:rPr>
        <w:t>55.22万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2.93</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农林水事务支出</w:t>
      </w:r>
      <w:r>
        <w:rPr>
          <w:rFonts w:hint="eastAsia" w:ascii="仿宋" w:hAnsi="仿宋" w:eastAsia="仿宋" w:cs="仿宋"/>
          <w:kern w:val="2"/>
          <w:sz w:val="24"/>
          <w:szCs w:val="24"/>
          <w:lang w:val="en-US" w:eastAsia="zh-CN"/>
        </w:rPr>
        <w:t>1119.29万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59.39</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资源勘探信息等支出</w:t>
      </w:r>
      <w:r>
        <w:rPr>
          <w:rFonts w:hint="eastAsia" w:ascii="仿宋" w:hAnsi="仿宋" w:eastAsia="仿宋" w:cs="仿宋"/>
          <w:kern w:val="2"/>
          <w:sz w:val="24"/>
          <w:szCs w:val="24"/>
          <w:lang w:val="en-US" w:eastAsia="zh-CN"/>
        </w:rPr>
        <w:t>25.97万</w:t>
      </w:r>
      <w:r>
        <w:rPr>
          <w:rFonts w:hint="eastAsia" w:ascii="仿宋" w:hAnsi="仿宋" w:eastAsia="仿宋" w:cs="仿宋"/>
          <w:kern w:val="2"/>
          <w:sz w:val="24"/>
          <w:szCs w:val="24"/>
          <w:lang w:eastAsia="zh-CN"/>
        </w:rPr>
        <w:t>元，占总支出的1.</w:t>
      </w:r>
      <w:r>
        <w:rPr>
          <w:rFonts w:hint="eastAsia" w:ascii="仿宋" w:hAnsi="仿宋" w:eastAsia="仿宋" w:cs="仿宋"/>
          <w:kern w:val="2"/>
          <w:sz w:val="24"/>
          <w:szCs w:val="24"/>
          <w:lang w:val="en-US" w:eastAsia="zh-CN"/>
        </w:rPr>
        <w:t>38</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交通运输支出</w:t>
      </w:r>
      <w:r>
        <w:rPr>
          <w:rFonts w:hint="eastAsia" w:ascii="仿宋" w:hAnsi="仿宋" w:eastAsia="仿宋" w:cs="仿宋"/>
          <w:kern w:val="2"/>
          <w:sz w:val="24"/>
          <w:szCs w:val="24"/>
          <w:lang w:val="en-US" w:eastAsia="zh-CN"/>
        </w:rPr>
        <w:t>13.00万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0.68</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国土海洋气象等支出</w:t>
      </w:r>
      <w:r>
        <w:rPr>
          <w:rFonts w:hint="eastAsia" w:ascii="仿宋" w:hAnsi="仿宋" w:eastAsia="仿宋" w:cs="仿宋"/>
          <w:kern w:val="2"/>
          <w:sz w:val="24"/>
          <w:szCs w:val="24"/>
          <w:lang w:val="en-US" w:eastAsia="zh-CN"/>
        </w:rPr>
        <w:t>11.38万</w:t>
      </w:r>
      <w:r>
        <w:rPr>
          <w:rFonts w:hint="eastAsia" w:ascii="仿宋" w:hAnsi="仿宋" w:eastAsia="仿宋" w:cs="仿宋"/>
          <w:kern w:val="2"/>
          <w:sz w:val="24"/>
          <w:szCs w:val="24"/>
          <w:lang w:eastAsia="zh-CN"/>
        </w:rPr>
        <w:t>元，占总支出的0.</w:t>
      </w: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住房保障支出</w:t>
      </w:r>
      <w:r>
        <w:rPr>
          <w:rFonts w:hint="eastAsia" w:ascii="仿宋" w:hAnsi="仿宋" w:eastAsia="仿宋" w:cs="仿宋"/>
          <w:kern w:val="2"/>
          <w:sz w:val="24"/>
          <w:szCs w:val="24"/>
          <w:lang w:val="en-US" w:eastAsia="zh-CN"/>
        </w:rPr>
        <w:t>16.32万</w:t>
      </w:r>
      <w:r>
        <w:rPr>
          <w:rFonts w:hint="eastAsia" w:ascii="仿宋" w:hAnsi="仿宋" w:eastAsia="仿宋" w:cs="仿宋"/>
          <w:kern w:val="2"/>
          <w:sz w:val="24"/>
          <w:szCs w:val="24"/>
          <w:lang w:eastAsia="zh-CN"/>
        </w:rPr>
        <w:t>元，占总支出的0.</w:t>
      </w:r>
      <w:r>
        <w:rPr>
          <w:rFonts w:hint="eastAsia" w:ascii="仿宋" w:hAnsi="仿宋" w:eastAsia="仿宋" w:cs="仿宋"/>
          <w:kern w:val="2"/>
          <w:sz w:val="24"/>
          <w:szCs w:val="24"/>
          <w:lang w:val="en-US" w:eastAsia="zh-CN"/>
        </w:rPr>
        <w:t>87</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其他支出：</w:t>
      </w:r>
      <w:r>
        <w:rPr>
          <w:rFonts w:hint="eastAsia" w:ascii="仿宋" w:hAnsi="仿宋" w:eastAsia="仿宋" w:cs="仿宋"/>
          <w:kern w:val="2"/>
          <w:sz w:val="24"/>
          <w:szCs w:val="24"/>
          <w:lang w:val="en-US" w:eastAsia="zh-CN"/>
        </w:rPr>
        <w:t>24.09万</w:t>
      </w:r>
      <w:r>
        <w:rPr>
          <w:rFonts w:hint="eastAsia" w:ascii="仿宋" w:hAnsi="仿宋" w:eastAsia="仿宋" w:cs="仿宋"/>
          <w:kern w:val="2"/>
          <w:sz w:val="24"/>
          <w:szCs w:val="24"/>
          <w:lang w:eastAsia="zh-CN"/>
        </w:rPr>
        <w:t>元，占总支出的</w:t>
      </w:r>
      <w:r>
        <w:rPr>
          <w:rFonts w:hint="eastAsia" w:ascii="仿宋" w:hAnsi="仿宋" w:eastAsia="仿宋" w:cs="仿宋"/>
          <w:kern w:val="2"/>
          <w:sz w:val="24"/>
          <w:szCs w:val="24"/>
          <w:lang w:val="en-US" w:eastAsia="zh-CN"/>
        </w:rPr>
        <w:t>1.28</w:t>
      </w:r>
      <w:r>
        <w:rPr>
          <w:rFonts w:hint="eastAsia" w:ascii="仿宋" w:hAnsi="仿宋" w:eastAsia="仿宋" w:cs="仿宋"/>
          <w:kern w:val="2"/>
          <w:sz w:val="24"/>
          <w:szCs w:val="24"/>
          <w:lang w:eastAsia="zh-CN"/>
        </w:rPr>
        <w:t>%。</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商品服务业等支出：</w:t>
      </w:r>
      <w:r>
        <w:rPr>
          <w:rFonts w:hint="eastAsia" w:ascii="仿宋" w:hAnsi="仿宋" w:eastAsia="仿宋" w:cs="仿宋"/>
          <w:kern w:val="2"/>
          <w:sz w:val="24"/>
          <w:szCs w:val="24"/>
          <w:lang w:val="en-US" w:eastAsia="zh-CN"/>
        </w:rPr>
        <w:t>25万元，占总支出的1.33%。</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四、财政拨款收入支出决算总体情况说明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本年内财政拨款收入为2127.95万元，2017年度为1666.09万元，增加461.86万元，增长27.72%；财政拨款支出1852.23万元，2017年度为1808.48万元，增加43.35万元，增长2.42%。年内结余275.72万元。增加的主要原因为本年内财政拨款收入增加。</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五、一般公共预算财政拨款支出决算情况说明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（一）财政拨款支出决算总体情况。</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财政拨款支出为1842.23万元，上年度为1701.48万元，比上年增加140.75万元，增长8.27%。增加的主要原因为本年内一般公共预算财政拨款收入增中。</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（二）财政拨款支出决算结构情况。</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财政拨款支出为1842.23万元，其中人员经费981.39万元，占总支出的53.27%；日常公用经费为183.01万元，占总支出的9.94%；项目支出为677.83万元，占总支出的36.79%。</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六、一般公共预算财政拨款基本支出决算情况说明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基本支出为1164.4万元，其中工资福利支出为783.7万元，占总支出的67.31%；商品服务支出为177.56万元，占总支出的15.25%；对个人和家庭补助支出为197.69万元,占总支出的16.98%；其他资本性支出0.45万元，占总支出的0.03%；债务利息支出5.00万元，占总支出的0.43%。</w:t>
      </w:r>
    </w:p>
    <w:p>
      <w:pPr>
        <w:widowControl/>
        <w:wordWrap/>
        <w:snapToGrid w:val="0"/>
        <w:spacing w:before="0" w:after="0" w:line="300" w:lineRule="auto"/>
        <w:ind w:left="0" w:leftChars="0" w:right="0" w:firstLine="482" w:firstLineChars="20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七、一般公共预算财政拨款“三公”经费支出决算情况说明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（一）“三公”经费财政拨款支出决算总体情况说明。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本年内“三公经费”支出为</w:t>
      </w:r>
      <w:r>
        <w:rPr>
          <w:rFonts w:hint="eastAsia" w:ascii="仿宋" w:hAnsi="仿宋" w:eastAsia="仿宋" w:cs="仿宋"/>
          <w:kern w:val="0"/>
          <w:sz w:val="24"/>
          <w:szCs w:val="24"/>
          <w:lang w:val="en-US" w:eastAsia="zh-CN"/>
        </w:rPr>
        <w:t>25.06万元，其中公务车辆运行维护为7.43万元，公务接待费用为17.63万元。较上年度稍有减少，与年补预算相较有所下降。</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（二）“三公”经费财政拨款支出决算具体情况说明。</w:t>
      </w:r>
    </w:p>
    <w:p>
      <w:pPr>
        <w:widowControl/>
        <w:wordWrap/>
        <w:snapToGrid w:val="0"/>
        <w:spacing w:before="0" w:after="0" w:line="300" w:lineRule="auto"/>
        <w:ind w:left="0" w:leftChars="0" w:right="0" w:firstLine="48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公务车辆运行维护费用为7.43万元，与上年稍有减少，主要原因为我县实行公务用车统一管理。公务接待费用为17.63万元，本年内共接待来客450余批次，总人数4700余人。</w:t>
      </w:r>
    </w:p>
    <w:p>
      <w:pPr>
        <w:widowControl/>
        <w:numPr>
          <w:ilvl w:val="0"/>
          <w:numId w:val="1"/>
        </w:numPr>
        <w:wordWrap/>
        <w:snapToGrid w:val="0"/>
        <w:spacing w:before="0" w:after="0" w:line="300" w:lineRule="auto"/>
        <w:ind w:left="0" w:leftChars="0" w:right="0" w:firstLine="48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因公出国（境）情况说明</w:t>
      </w:r>
      <w:bookmarkStart w:id="0" w:name="_GoBack"/>
      <w:bookmarkEnd w:id="0"/>
    </w:p>
    <w:p>
      <w:pPr>
        <w:widowControl/>
        <w:numPr>
          <w:numId w:val="0"/>
        </w:numPr>
        <w:wordWrap/>
        <w:snapToGrid w:val="0"/>
        <w:spacing w:before="0" w:after="0" w:line="300" w:lineRule="auto"/>
        <w:ind w:left="480" w:leftChars="0" w:right="0" w:rightChars="0"/>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因公出国(境）团组数为0，人数为0。</w:t>
      </w:r>
    </w:p>
    <w:p>
      <w:pPr>
        <w:widowControl/>
        <w:wordWrap/>
        <w:snapToGrid w:val="0"/>
        <w:spacing w:before="0" w:after="0" w:line="300" w:lineRule="auto"/>
        <w:ind w:left="0" w:leftChars="0" w:right="0" w:firstLine="482" w:firstLineChars="20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八、政府性基金预算收入支出决算情况</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本年内政府性基金预算收支为10万元，上年度为27.00万元，较上年有所减少。</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九、关于2018年度预算绩效情况说明</w:t>
      </w:r>
    </w:p>
    <w:p>
      <w:pPr>
        <w:wordWrap/>
        <w:autoSpaceDN w:val="0"/>
        <w:snapToGrid w:val="0"/>
        <w:spacing w:before="0" w:after="0" w:line="300" w:lineRule="auto"/>
        <w:ind w:left="0" w:leftChars="0" w:right="0" w:firstLine="480"/>
        <w:jc w:val="left"/>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2018年，在镇党委、政府的决策下，取得了较大的成绩，主要有以下几个方面：一是积极组织各项财政收入的征收入库，完成了本年财税收入任务；二是在财政形势非常严峻的形势下，保证了干部、职工、站所等经费的及时到位，保证了政府机器的正常运转；三是严肃认真的规范了财政财务管理，严格控制各项财政支出；四是严格落实对农补贴政策，通过“一卡通”发放各项补贴1</w:t>
      </w:r>
      <w:r>
        <w:rPr>
          <w:rFonts w:hint="eastAsia" w:ascii="仿宋" w:hAnsi="仿宋" w:eastAsia="仿宋" w:cs="仿宋"/>
          <w:kern w:val="2"/>
          <w:sz w:val="24"/>
          <w:szCs w:val="24"/>
          <w:lang w:val="en-US" w:eastAsia="zh-CN"/>
        </w:rPr>
        <w:t>568.38</w:t>
      </w:r>
      <w:r>
        <w:rPr>
          <w:rFonts w:hint="eastAsia" w:ascii="仿宋" w:hAnsi="仿宋" w:eastAsia="仿宋" w:cs="仿宋"/>
          <w:kern w:val="2"/>
          <w:sz w:val="24"/>
          <w:szCs w:val="24"/>
          <w:lang w:eastAsia="zh-CN"/>
        </w:rPr>
        <w:t>万元；五是狠抓债权债务管理，严格落实县财债权债管理目标。全年清偿债务</w:t>
      </w:r>
      <w:r>
        <w:rPr>
          <w:rFonts w:hint="eastAsia" w:ascii="仿宋" w:hAnsi="仿宋" w:eastAsia="仿宋" w:cs="仿宋"/>
          <w:kern w:val="2"/>
          <w:sz w:val="24"/>
          <w:szCs w:val="24"/>
          <w:lang w:val="en-US" w:eastAsia="zh-CN"/>
        </w:rPr>
        <w:t>58</w:t>
      </w:r>
      <w:r>
        <w:rPr>
          <w:rFonts w:hint="eastAsia" w:ascii="仿宋" w:hAnsi="仿宋" w:eastAsia="仿宋" w:cs="仿宋"/>
          <w:kern w:val="2"/>
          <w:sz w:val="24"/>
          <w:szCs w:val="24"/>
          <w:lang w:eastAsia="zh-CN"/>
        </w:rPr>
        <w:t>万元，清收债权</w:t>
      </w:r>
      <w:r>
        <w:rPr>
          <w:rFonts w:hint="eastAsia" w:ascii="仿宋" w:hAnsi="仿宋" w:eastAsia="仿宋" w:cs="仿宋"/>
          <w:kern w:val="2"/>
          <w:sz w:val="24"/>
          <w:szCs w:val="24"/>
          <w:lang w:val="en-US" w:eastAsia="zh-CN"/>
        </w:rPr>
        <w:t>35</w:t>
      </w:r>
      <w:r>
        <w:rPr>
          <w:rFonts w:hint="eastAsia" w:ascii="仿宋" w:hAnsi="仿宋" w:eastAsia="仿宋" w:cs="仿宋"/>
          <w:kern w:val="2"/>
          <w:sz w:val="24"/>
          <w:szCs w:val="24"/>
          <w:lang w:eastAsia="zh-CN"/>
        </w:rPr>
        <w:t>万元。六是认真落实村级一事一议财政奖补政策，引导加强村级一事一议项目实施，向上级财政争取奖补资金</w:t>
      </w:r>
      <w:r>
        <w:rPr>
          <w:rFonts w:hint="eastAsia" w:ascii="仿宋" w:hAnsi="仿宋" w:eastAsia="仿宋" w:cs="仿宋"/>
          <w:kern w:val="2"/>
          <w:sz w:val="24"/>
          <w:szCs w:val="24"/>
          <w:lang w:val="en-US" w:eastAsia="zh-CN"/>
        </w:rPr>
        <w:t>296</w:t>
      </w:r>
      <w:r>
        <w:rPr>
          <w:rFonts w:hint="eastAsia" w:ascii="仿宋" w:hAnsi="仿宋" w:eastAsia="仿宋" w:cs="仿宋"/>
          <w:kern w:val="2"/>
          <w:sz w:val="24"/>
          <w:szCs w:val="24"/>
          <w:lang w:eastAsia="zh-CN"/>
        </w:rPr>
        <w:t>万元，使理公港镇的基础设施建设得到更大的发展。</w:t>
      </w:r>
    </w:p>
    <w:p>
      <w:pPr>
        <w:widowControl/>
        <w:numPr>
          <w:ilvl w:val="0"/>
          <w:numId w:val="2"/>
        </w:numPr>
        <w:wordWrap/>
        <w:snapToGrid w:val="0"/>
        <w:spacing w:before="0" w:after="0" w:line="300" w:lineRule="auto"/>
        <w:ind w:right="0" w:rightChars="0" w:firstLine="482" w:firstLineChars="200"/>
        <w:textAlignment w:val="auto"/>
        <w:outlineLvl w:val="9"/>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 xml:space="preserve">举借债务情况说明 </w:t>
      </w:r>
    </w:p>
    <w:p>
      <w:pPr>
        <w:widowControl/>
        <w:numPr>
          <w:ilvl w:val="0"/>
          <w:numId w:val="0"/>
        </w:numPr>
        <w:wordWrap/>
        <w:snapToGrid w:val="0"/>
        <w:spacing w:before="0" w:after="0" w:line="300" w:lineRule="auto"/>
        <w:ind w:right="0" w:rightChars="0" w:firstLine="481"/>
        <w:textAlignment w:val="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理公港镇人民政府2018年无举借债务。</w:t>
      </w:r>
    </w:p>
    <w:p>
      <w:pPr>
        <w:widowControl/>
        <w:numPr>
          <w:ilvl w:val="0"/>
          <w:numId w:val="2"/>
        </w:numPr>
        <w:wordWrap/>
        <w:snapToGrid w:val="0"/>
        <w:spacing w:before="0" w:after="0" w:line="300" w:lineRule="auto"/>
        <w:ind w:left="0" w:leftChars="0" w:right="0" w:rightChars="0" w:firstLine="482" w:firstLineChars="200"/>
        <w:textAlignment w:val="auto"/>
        <w:outlineLvl w:val="9"/>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预算绩效工作开展情况说明</w:t>
      </w:r>
    </w:p>
    <w:p>
      <w:pPr>
        <w:widowControl/>
        <w:numPr>
          <w:ilvl w:val="0"/>
          <w:numId w:val="0"/>
        </w:numPr>
        <w:wordWrap/>
        <w:snapToGrid w:val="0"/>
        <w:spacing w:before="0" w:after="0" w:line="300" w:lineRule="auto"/>
        <w:ind w:right="0" w:rightChars="0" w:firstLine="481"/>
        <w:textAlignment w:val="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根据新《预算法》中对财政绩效管理的新要求，我镇坚持以提升财政资金绩效为主线，以绩效目标实现为导向，加强财政绩效管理建设，各项收入和支出都基本按预算的目标完成，2018年预算绩效管理取得新成效。现将预算绩效开展情况说明如下：</w:t>
      </w:r>
    </w:p>
    <w:p>
      <w:pPr>
        <w:widowControl/>
        <w:numPr>
          <w:ilvl w:val="0"/>
          <w:numId w:val="0"/>
        </w:numPr>
        <w:wordWrap/>
        <w:snapToGrid w:val="0"/>
        <w:spacing w:before="0" w:after="0" w:line="300" w:lineRule="auto"/>
        <w:ind w:right="0" w:rightChars="0" w:firstLine="481"/>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（一）年度预算绩效管理工作整体开展情况</w:t>
      </w:r>
    </w:p>
    <w:p>
      <w:pPr>
        <w:widowControl/>
        <w:numPr>
          <w:ilvl w:val="0"/>
          <w:numId w:val="0"/>
        </w:numPr>
        <w:wordWrap/>
        <w:snapToGrid w:val="0"/>
        <w:spacing w:before="0" w:after="0" w:line="300" w:lineRule="auto"/>
        <w:ind w:right="0" w:rightChars="0" w:firstLine="481"/>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1、探索绩效跟踪监控，加强全过程监控，以预算单位为责任主体，提高财政资金使用的规范性和时效性。</w:t>
      </w:r>
    </w:p>
    <w:p>
      <w:pPr>
        <w:widowControl/>
        <w:numPr>
          <w:ilvl w:val="0"/>
          <w:numId w:val="0"/>
        </w:numPr>
        <w:wordWrap/>
        <w:snapToGrid w:val="0"/>
        <w:spacing w:before="0" w:after="0" w:line="300" w:lineRule="auto"/>
        <w:ind w:right="0" w:rightChars="0" w:firstLine="481"/>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2、深入开展财政支出绩效评价，并将绩效评价作为改进预算管理和安排以后年度预算的重要依据。</w:t>
      </w:r>
    </w:p>
    <w:p>
      <w:pPr>
        <w:widowControl/>
        <w:numPr>
          <w:ilvl w:val="0"/>
          <w:numId w:val="0"/>
        </w:numPr>
        <w:wordWrap/>
        <w:snapToGrid w:val="0"/>
        <w:spacing w:before="0" w:after="0" w:line="300" w:lineRule="auto"/>
        <w:ind w:right="0" w:rightChars="0" w:firstLine="481"/>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3、强化评价结果应用，对发现的问题及时改进，加强评价结果与项目资金安排的衔接。</w:t>
      </w:r>
    </w:p>
    <w:p>
      <w:pPr>
        <w:widowControl/>
        <w:numPr>
          <w:ilvl w:val="0"/>
          <w:numId w:val="0"/>
        </w:numPr>
        <w:wordWrap/>
        <w:snapToGrid w:val="0"/>
        <w:spacing w:before="0" w:after="0" w:line="300" w:lineRule="auto"/>
        <w:ind w:right="0" w:rightChars="0" w:firstLine="481"/>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（二）下一步打算</w:t>
      </w:r>
    </w:p>
    <w:p>
      <w:pPr>
        <w:widowControl/>
        <w:numPr>
          <w:ilvl w:val="0"/>
          <w:numId w:val="0"/>
        </w:numPr>
        <w:wordWrap/>
        <w:snapToGrid w:val="0"/>
        <w:spacing w:before="0" w:after="0" w:line="300" w:lineRule="auto"/>
        <w:ind w:right="0" w:rightChars="0" w:firstLine="481"/>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2019年，我镇将继续认真贯彻落实新《预算法》，努力推进预算绩效管理工作，开展重点项目、重点领域的绩效评价，提高财政资金的使用效益。</w:t>
      </w:r>
    </w:p>
    <w:p>
      <w:pPr>
        <w:widowControl/>
        <w:wordWrap/>
        <w:snapToGrid w:val="0"/>
        <w:spacing w:before="0" w:after="0" w:line="300" w:lineRule="auto"/>
        <w:ind w:left="0" w:leftChars="0" w:right="0" w:firstLine="482" w:firstLineChars="200"/>
        <w:textAlignment w:val="auto"/>
        <w:outlineLvl w:val="9"/>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十二、</w:t>
      </w:r>
      <w:r>
        <w:rPr>
          <w:rFonts w:hint="eastAsia" w:ascii="仿宋" w:hAnsi="仿宋" w:eastAsia="仿宋" w:cs="仿宋"/>
          <w:b/>
          <w:bCs/>
          <w:kern w:val="0"/>
          <w:sz w:val="24"/>
          <w:szCs w:val="24"/>
        </w:rPr>
        <w:t>其他重要事项</w:t>
      </w:r>
      <w:r>
        <w:rPr>
          <w:rFonts w:hint="eastAsia" w:ascii="仿宋" w:hAnsi="仿宋" w:eastAsia="仿宋" w:cs="仿宋"/>
          <w:b/>
          <w:bCs/>
          <w:kern w:val="0"/>
          <w:sz w:val="24"/>
          <w:szCs w:val="24"/>
          <w:lang w:eastAsia="zh-CN"/>
        </w:rPr>
        <w:t>说明</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（一）机关运行经费支出情况。本部门2018年度机关运行经费支出</w:t>
      </w:r>
      <w:r>
        <w:rPr>
          <w:rFonts w:hint="eastAsia" w:ascii="仿宋" w:hAnsi="仿宋" w:eastAsia="仿宋" w:cs="仿宋"/>
          <w:kern w:val="0"/>
          <w:sz w:val="24"/>
          <w:szCs w:val="24"/>
          <w:lang w:val="en-US" w:eastAsia="zh-CN"/>
        </w:rPr>
        <w:t>177.56</w:t>
      </w:r>
      <w:r>
        <w:rPr>
          <w:rFonts w:hint="eastAsia" w:ascii="仿宋" w:hAnsi="仿宋" w:eastAsia="仿宋" w:cs="仿宋"/>
          <w:kern w:val="0"/>
          <w:sz w:val="24"/>
          <w:szCs w:val="24"/>
        </w:rPr>
        <w:t>万元，比2017年</w:t>
      </w:r>
      <w:r>
        <w:rPr>
          <w:rFonts w:hint="eastAsia" w:ascii="仿宋" w:hAnsi="仿宋" w:eastAsia="仿宋" w:cs="仿宋"/>
          <w:kern w:val="0"/>
          <w:sz w:val="24"/>
          <w:szCs w:val="24"/>
          <w:lang w:val="en-US" w:eastAsia="zh-CN"/>
        </w:rPr>
        <w:t>17.35</w:t>
      </w:r>
      <w:r>
        <w:rPr>
          <w:rFonts w:hint="eastAsia" w:ascii="仿宋" w:hAnsi="仿宋" w:eastAsia="仿宋" w:cs="仿宋"/>
          <w:kern w:val="0"/>
          <w:sz w:val="24"/>
          <w:szCs w:val="24"/>
        </w:rPr>
        <w:t xml:space="preserve"> 万元，</w:t>
      </w:r>
      <w:r>
        <w:rPr>
          <w:rFonts w:hint="eastAsia" w:ascii="仿宋" w:hAnsi="仿宋" w:eastAsia="仿宋" w:cs="仿宋"/>
          <w:kern w:val="0"/>
          <w:sz w:val="24"/>
          <w:szCs w:val="24"/>
          <w:lang w:eastAsia="zh-CN"/>
        </w:rPr>
        <w:t>减少</w:t>
      </w:r>
      <w:r>
        <w:rPr>
          <w:rFonts w:hint="eastAsia" w:ascii="仿宋" w:hAnsi="仿宋" w:eastAsia="仿宋" w:cs="仿宋"/>
          <w:kern w:val="0"/>
          <w:sz w:val="24"/>
          <w:szCs w:val="24"/>
          <w:lang w:val="en-US" w:eastAsia="zh-CN"/>
        </w:rPr>
        <w:t>9.77</w:t>
      </w:r>
      <w:r>
        <w:rPr>
          <w:rFonts w:hint="eastAsia" w:ascii="仿宋" w:hAnsi="仿宋" w:eastAsia="仿宋" w:cs="仿宋"/>
          <w:kern w:val="0"/>
          <w:sz w:val="24"/>
          <w:szCs w:val="24"/>
        </w:rPr>
        <w:t>%。主要原因是：</w:t>
      </w:r>
      <w:r>
        <w:rPr>
          <w:rFonts w:hint="eastAsia" w:ascii="仿宋" w:hAnsi="仿宋" w:eastAsia="仿宋" w:cs="仿宋"/>
          <w:kern w:val="0"/>
          <w:sz w:val="24"/>
          <w:szCs w:val="24"/>
          <w:lang w:eastAsia="zh-CN"/>
        </w:rPr>
        <w:t>本年内厉行节约，大力压缩公用经费开支。</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（二）政府采购支出情况。本部门2018 年度政府采购支出总额</w:t>
      </w:r>
      <w:r>
        <w:rPr>
          <w:rFonts w:hint="eastAsia" w:ascii="仿宋" w:hAnsi="仿宋" w:eastAsia="仿宋" w:cs="仿宋"/>
          <w:kern w:val="0"/>
          <w:sz w:val="24"/>
          <w:szCs w:val="24"/>
          <w:lang w:val="en-US" w:eastAsia="zh-CN"/>
        </w:rPr>
        <w:t>3.50</w:t>
      </w:r>
      <w:r>
        <w:rPr>
          <w:rFonts w:hint="eastAsia" w:ascii="仿宋" w:hAnsi="仿宋" w:eastAsia="仿宋" w:cs="仿宋"/>
          <w:kern w:val="0"/>
          <w:sz w:val="24"/>
          <w:szCs w:val="24"/>
        </w:rPr>
        <w:t>万元，其中：政府采购货物支出</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万元。</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（三）国有资产占用情况。截至2018 年12 月31 日，本部门共有车辆</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辆，其中一般公务用车</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辆。</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pStyle w:val="18"/>
        <w:jc w:val="center"/>
        <w:rPr>
          <w:rFonts w:hint="eastAsia"/>
          <w:sz w:val="72"/>
          <w:szCs w:val="72"/>
        </w:rPr>
      </w:pPr>
    </w:p>
    <w:p>
      <w:pPr>
        <w:pStyle w:val="18"/>
        <w:jc w:val="center"/>
        <w:rPr>
          <w:rFonts w:hint="eastAsia"/>
          <w:sz w:val="72"/>
          <w:szCs w:val="72"/>
        </w:rPr>
      </w:pPr>
    </w:p>
    <w:p>
      <w:pPr>
        <w:pStyle w:val="18"/>
        <w:jc w:val="center"/>
        <w:rPr>
          <w:rFonts w:hint="eastAsia"/>
          <w:sz w:val="72"/>
          <w:szCs w:val="72"/>
        </w:rPr>
      </w:pPr>
    </w:p>
    <w:p>
      <w:pPr>
        <w:pStyle w:val="18"/>
        <w:jc w:val="center"/>
        <w:rPr>
          <w:rFonts w:hint="eastAsia"/>
          <w:sz w:val="72"/>
          <w:szCs w:val="72"/>
        </w:rPr>
      </w:pPr>
    </w:p>
    <w:p>
      <w:pPr>
        <w:pStyle w:val="18"/>
        <w:jc w:val="center"/>
        <w:rPr>
          <w:sz w:val="72"/>
          <w:szCs w:val="72"/>
        </w:rPr>
      </w:pPr>
      <w:r>
        <w:rPr>
          <w:rFonts w:hint="eastAsia"/>
          <w:sz w:val="72"/>
          <w:szCs w:val="72"/>
        </w:rPr>
        <w:t>第</w:t>
      </w:r>
      <w:r>
        <w:rPr>
          <w:rFonts w:hint="eastAsia"/>
          <w:sz w:val="72"/>
          <w:szCs w:val="72"/>
          <w:lang w:eastAsia="zh-CN"/>
        </w:rPr>
        <w:t>四</w:t>
      </w:r>
      <w:r>
        <w:rPr>
          <w:rFonts w:hint="eastAsia"/>
          <w:sz w:val="72"/>
          <w:szCs w:val="72"/>
        </w:rPr>
        <w:t>部分</w:t>
      </w:r>
    </w:p>
    <w:p>
      <w:pPr>
        <w:pStyle w:val="18"/>
        <w:jc w:val="center"/>
        <w:rPr>
          <w:sz w:val="70"/>
          <w:szCs w:val="70"/>
        </w:rPr>
      </w:pPr>
    </w:p>
    <w:p>
      <w:pPr>
        <w:pStyle w:val="18"/>
        <w:jc w:val="center"/>
        <w:rPr>
          <w:rFonts w:hint="eastAsia"/>
          <w:sz w:val="72"/>
          <w:szCs w:val="72"/>
          <w:lang w:val="en-US" w:eastAsia="zh-CN"/>
        </w:rPr>
      </w:pPr>
      <w:r>
        <w:rPr>
          <w:rFonts w:hint="eastAsia"/>
          <w:sz w:val="72"/>
          <w:szCs w:val="72"/>
          <w:lang w:eastAsia="zh-CN"/>
        </w:rPr>
        <w:t>名词解释</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（一）基本支出：是指为保障机构正常运转，完成日常工作任务而发生的人员支出和公用支出。</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（二）项目支出：是指在基本支出之外为完成特定行政任务和事业发展目标所发生的支出。</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宋体" w:hAnsi="宋体" w:eastAsia="宋体" w:cs="宋体"/>
          <w:sz w:val="28"/>
          <w:szCs w:val="28"/>
        </w:rPr>
      </w:pPr>
      <w:r>
        <w:rPr>
          <w:rFonts w:hint="eastAsia" w:ascii="仿宋" w:hAnsi="仿宋" w:eastAsia="仿宋" w:cs="仿宋"/>
          <w:kern w:val="0"/>
          <w:sz w:val="24"/>
          <w:szCs w:val="24"/>
          <w:lang w:val="en-US" w:eastAsia="zh-CN"/>
        </w:rPr>
        <w:t>（四）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sectPr>
      <w:footerReference r:id="rId3" w:type="default"/>
      <w:pgSz w:w="11905" w:h="16837"/>
      <w:pgMar w:top="1418" w:right="1588" w:bottom="1114" w:left="1588" w:header="720" w:footer="1701" w:gutter="0"/>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sz w:val="28"/>
        <w:szCs w:val="28"/>
      </w:rPr>
    </w:pPr>
    <w:r>
      <w:rPr>
        <w:rFonts w:cs="Times New Roman"/>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6926B"/>
    <w:multiLevelType w:val="singleLevel"/>
    <w:tmpl w:val="DF66926B"/>
    <w:lvl w:ilvl="0" w:tentative="0">
      <w:start w:val="10"/>
      <w:numFmt w:val="chineseCounting"/>
      <w:suff w:val="nothing"/>
      <w:lvlText w:val="%1、"/>
      <w:lvlJc w:val="left"/>
      <w:rPr>
        <w:rFonts w:hint="eastAsia"/>
      </w:rPr>
    </w:lvl>
  </w:abstractNum>
  <w:abstractNum w:abstractNumId="1">
    <w:nsid w:val="10A4A721"/>
    <w:multiLevelType w:val="singleLevel"/>
    <w:tmpl w:val="10A4A72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078A"/>
    <w:rsid w:val="046E20A8"/>
    <w:rsid w:val="0A4B2AEF"/>
    <w:rsid w:val="103C3F31"/>
    <w:rsid w:val="10966C26"/>
    <w:rsid w:val="1A931E50"/>
    <w:rsid w:val="1F4625E0"/>
    <w:rsid w:val="23AA0151"/>
    <w:rsid w:val="2DB6089F"/>
    <w:rsid w:val="34D125D6"/>
    <w:rsid w:val="3708290C"/>
    <w:rsid w:val="3827502D"/>
    <w:rsid w:val="3A481B4B"/>
    <w:rsid w:val="3BFF4A99"/>
    <w:rsid w:val="3DFE283D"/>
    <w:rsid w:val="3E9070D2"/>
    <w:rsid w:val="457012FA"/>
    <w:rsid w:val="484C6D8F"/>
    <w:rsid w:val="4ABB6131"/>
    <w:rsid w:val="4CDE3C7A"/>
    <w:rsid w:val="4D574AF0"/>
    <w:rsid w:val="4DC11FEE"/>
    <w:rsid w:val="4E0F429F"/>
    <w:rsid w:val="56151D8E"/>
    <w:rsid w:val="573F3F47"/>
    <w:rsid w:val="5F282AAF"/>
    <w:rsid w:val="616D22B4"/>
    <w:rsid w:val="62716318"/>
    <w:rsid w:val="6B2355BD"/>
    <w:rsid w:val="6BFF3EF8"/>
    <w:rsid w:val="70BB58E6"/>
    <w:rsid w:val="71EC3CB6"/>
    <w:rsid w:val="763B2D50"/>
    <w:rsid w:val="787E3079"/>
    <w:rsid w:val="7C943C01"/>
    <w:rsid w:val="7D466317"/>
    <w:rsid w:val="7DE423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pPr>
  </w:style>
  <w:style w:type="paragraph" w:styleId="3">
    <w:name w:val="Date"/>
    <w:basedOn w:val="1"/>
    <w:next w:val="1"/>
    <w:link w:val="17"/>
    <w:qFormat/>
    <w:uiPriority w:val="99"/>
    <w:pPr>
      <w:ind w:left="100" w:leftChars="2500"/>
    </w:pPr>
  </w:style>
  <w:style w:type="paragraph" w:styleId="4">
    <w:name w:val="Balloon Text"/>
    <w:basedOn w:val="1"/>
    <w:link w:val="16"/>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paragraph" w:customStyle="1" w:styleId="12">
    <w:name w:val="表格内容"/>
    <w:basedOn w:val="2"/>
    <w:qFormat/>
    <w:uiPriority w:val="99"/>
    <w:pPr>
      <w:suppressLineNumbers/>
      <w:suppressAutoHyphens/>
      <w:jc w:val="left"/>
    </w:pPr>
    <w:rPr>
      <w:kern w:val="0"/>
      <w:sz w:val="24"/>
      <w:szCs w:val="24"/>
    </w:rPr>
  </w:style>
  <w:style w:type="character" w:customStyle="1" w:styleId="13">
    <w:name w:val="Header Char"/>
    <w:basedOn w:val="10"/>
    <w:link w:val="6"/>
    <w:qFormat/>
    <w:locked/>
    <w:uiPriority w:val="99"/>
    <w:rPr>
      <w:sz w:val="18"/>
      <w:szCs w:val="18"/>
    </w:rPr>
  </w:style>
  <w:style w:type="character" w:customStyle="1" w:styleId="14">
    <w:name w:val="Footer Char"/>
    <w:basedOn w:val="10"/>
    <w:link w:val="5"/>
    <w:locked/>
    <w:uiPriority w:val="99"/>
    <w:rPr>
      <w:sz w:val="18"/>
      <w:szCs w:val="18"/>
    </w:rPr>
  </w:style>
  <w:style w:type="character" w:customStyle="1" w:styleId="15">
    <w:name w:val="Body Text Char"/>
    <w:basedOn w:val="10"/>
    <w:link w:val="2"/>
    <w:qFormat/>
    <w:locked/>
    <w:uiPriority w:val="99"/>
    <w:rPr>
      <w:rFonts w:ascii="Times New Roman" w:hAnsi="Times New Roman" w:eastAsia="宋体" w:cs="Times New Roman"/>
      <w:sz w:val="24"/>
      <w:szCs w:val="24"/>
    </w:rPr>
  </w:style>
  <w:style w:type="character" w:customStyle="1" w:styleId="16">
    <w:name w:val="Balloon Text Char"/>
    <w:basedOn w:val="10"/>
    <w:link w:val="4"/>
    <w:qFormat/>
    <w:locked/>
    <w:uiPriority w:val="99"/>
    <w:rPr>
      <w:rFonts w:ascii="Times New Roman" w:hAnsi="Times New Roman" w:eastAsia="宋体" w:cs="Times New Roman"/>
      <w:sz w:val="18"/>
      <w:szCs w:val="18"/>
    </w:rPr>
  </w:style>
  <w:style w:type="character" w:customStyle="1" w:styleId="17">
    <w:name w:val="Date Char"/>
    <w:basedOn w:val="10"/>
    <w:link w:val="3"/>
    <w:locked/>
    <w:uiPriority w:val="99"/>
    <w:rPr>
      <w:rFonts w:ascii="Times New Roman" w:hAnsi="Times New Roman" w:eastAsia="宋体" w:cs="Times New Roman"/>
      <w:sz w:val="24"/>
      <w:szCs w:val="24"/>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856</Words>
  <Characters>4884</Characters>
  <Lines>0</Lines>
  <Paragraphs>0</Paragraphs>
  <TotalTime>0</TotalTime>
  <ScaleCrop>false</ScaleCrop>
  <LinksUpToDate>false</LinksUpToDate>
  <CharactersWithSpaces>0</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2018-07-31T00:44:00Z</dcterms:created>
  <dc:creator>周亮辉 10.104.93.85</dc:creator>
  <cp:lastModifiedBy>Administrator</cp:lastModifiedBy>
  <cp:lastPrinted>2021-05-24T07:14:25Z</cp:lastPrinted>
  <dcterms:modified xsi:type="dcterms:W3CDTF">2021-05-24T07:37:06Z</dcterms:modified>
  <dc:title>桃源县观音寺镇人民政府2018年度部门决算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BF7B0A89185C45639832597473D3EAD0</vt:lpwstr>
  </property>
</Properties>
</file>