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97A94">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rPr>
      </w:pPr>
    </w:p>
    <w:p w14:paraId="61765E93">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70EE8FE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19623E83">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44"/>
          <w:szCs w:val="44"/>
        </w:rPr>
      </w:pPr>
    </w:p>
    <w:p w14:paraId="46CCC488">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年度桃源县公路建设养护中心</w:t>
      </w:r>
    </w:p>
    <w:p w14:paraId="4A75A764">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整体支出绩效自评报告</w:t>
      </w:r>
    </w:p>
    <w:p w14:paraId="1231519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0A5B3949">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60519F9C">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3A79239B">
      <w:pPr>
        <w:pStyle w:val="2"/>
        <w:keepNext w:val="0"/>
        <w:keepLines w:val="0"/>
        <w:pageBreakBefore w:val="0"/>
        <w:kinsoku/>
        <w:wordWrap/>
        <w:overflowPunct/>
        <w:topLinePunct w:val="0"/>
        <w:autoSpaceDE/>
        <w:autoSpaceDN/>
        <w:bidi w:val="0"/>
        <w:adjustRightInd/>
        <w:snapToGrid/>
        <w:spacing w:line="560" w:lineRule="exact"/>
        <w:ind w:firstLine="400"/>
        <w:rPr>
          <w:rFonts w:hint="default" w:ascii="Times New Roman" w:hAnsi="Times New Roman" w:cs="Times New Roman"/>
        </w:rPr>
      </w:pPr>
    </w:p>
    <w:p w14:paraId="6D347627">
      <w:pPr>
        <w:pStyle w:val="2"/>
        <w:keepNext w:val="0"/>
        <w:keepLines w:val="0"/>
        <w:pageBreakBefore w:val="0"/>
        <w:kinsoku/>
        <w:wordWrap/>
        <w:overflowPunct/>
        <w:topLinePunct w:val="0"/>
        <w:autoSpaceDE/>
        <w:autoSpaceDN/>
        <w:bidi w:val="0"/>
        <w:adjustRightInd/>
        <w:snapToGrid/>
        <w:spacing w:line="560" w:lineRule="exact"/>
        <w:ind w:firstLine="400"/>
        <w:rPr>
          <w:rFonts w:hint="default" w:ascii="Times New Roman" w:hAnsi="Times New Roman" w:cs="Times New Roman"/>
        </w:rPr>
      </w:pPr>
    </w:p>
    <w:p w14:paraId="591C084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72CBC22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1281EEBB">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0A640BA9">
      <w:pPr>
        <w:pStyle w:val="2"/>
        <w:keepNext w:val="0"/>
        <w:keepLines w:val="0"/>
        <w:pageBreakBefore w:val="0"/>
        <w:kinsoku/>
        <w:wordWrap/>
        <w:overflowPunct/>
        <w:topLinePunct w:val="0"/>
        <w:autoSpaceDE/>
        <w:autoSpaceDN/>
        <w:bidi w:val="0"/>
        <w:adjustRightInd/>
        <w:snapToGrid/>
        <w:spacing w:line="560" w:lineRule="exact"/>
        <w:ind w:firstLine="400"/>
        <w:rPr>
          <w:rFonts w:hint="default" w:ascii="Times New Roman" w:hAnsi="Times New Roman" w:cs="Times New Roman"/>
        </w:rPr>
      </w:pPr>
    </w:p>
    <w:p w14:paraId="750045D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3EBAE9D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 盖 章 )</w:t>
      </w:r>
    </w:p>
    <w:p w14:paraId="12F97FE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rPr>
      </w:pPr>
    </w:p>
    <w:p w14:paraId="637A4A3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11F9B5EC">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05D323B2">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kern w:val="0"/>
          <w:sz w:val="44"/>
          <w:szCs w:val="44"/>
        </w:rPr>
      </w:pPr>
    </w:p>
    <w:p w14:paraId="157185E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kern w:val="0"/>
          <w:sz w:val="44"/>
          <w:szCs w:val="44"/>
        </w:rPr>
      </w:pPr>
    </w:p>
    <w:p w14:paraId="3C344BF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kern w:val="0"/>
          <w:sz w:val="44"/>
          <w:szCs w:val="44"/>
        </w:rPr>
      </w:pPr>
    </w:p>
    <w:p w14:paraId="1B1A1890">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kern w:val="0"/>
          <w:sz w:val="44"/>
          <w:szCs w:val="44"/>
        </w:rPr>
      </w:pPr>
    </w:p>
    <w:p w14:paraId="6DFC5E62">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kern w:val="0"/>
          <w:sz w:val="36"/>
          <w:szCs w:val="36"/>
        </w:rPr>
      </w:pPr>
      <w:r>
        <w:rPr>
          <w:rFonts w:hint="default" w:ascii="Times New Roman" w:hAnsi="Times New Roman" w:eastAsia="黑体" w:cs="Times New Roman"/>
          <w:kern w:val="0"/>
          <w:sz w:val="44"/>
          <w:szCs w:val="44"/>
        </w:rPr>
        <w:t>202</w:t>
      </w:r>
      <w:r>
        <w:rPr>
          <w:rFonts w:hint="eastAsia" w:ascii="Times New Roman" w:hAnsi="Times New Roman" w:eastAsia="黑体" w:cs="Times New Roman"/>
          <w:kern w:val="0"/>
          <w:sz w:val="44"/>
          <w:szCs w:val="44"/>
          <w:lang w:val="en-US" w:eastAsia="zh-CN"/>
        </w:rPr>
        <w:t>4</w:t>
      </w:r>
      <w:r>
        <w:rPr>
          <w:rFonts w:hint="eastAsia" w:ascii="方正小标宋简体" w:hAnsi="方正小标宋简体" w:eastAsia="方正小标宋简体" w:cs="方正小标宋简体"/>
          <w:kern w:val="0"/>
          <w:sz w:val="44"/>
          <w:szCs w:val="44"/>
        </w:rPr>
        <w:t>年度桃源县公路建设养护中心整体支出绩效自评报告</w:t>
      </w:r>
    </w:p>
    <w:p w14:paraId="68AF8D3C">
      <w:pPr>
        <w:keepNext w:val="0"/>
        <w:keepLines w:val="0"/>
        <w:pageBreakBefore w:val="0"/>
        <w:kinsoku/>
        <w:wordWrap/>
        <w:overflowPunct/>
        <w:topLinePunct w:val="0"/>
        <w:autoSpaceDE/>
        <w:autoSpaceDN/>
        <w:bidi w:val="0"/>
        <w:adjustRightInd/>
        <w:snapToGrid/>
        <w:spacing w:line="560" w:lineRule="exact"/>
        <w:ind w:firstLine="960" w:firstLineChars="300"/>
        <w:jc w:val="left"/>
        <w:rPr>
          <w:rFonts w:hint="default" w:ascii="Times New Roman" w:hAnsi="Times New Roman" w:eastAsia="仿宋_GB2312" w:cs="Times New Roman"/>
          <w:sz w:val="32"/>
          <w:szCs w:val="32"/>
        </w:rPr>
      </w:pPr>
    </w:p>
    <w:p w14:paraId="3023E067">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为强化财政支出资金管理，提高财政资金使用效益，对202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年度桃源县桃源县公路建设养护中心（以下简称“县公路建养中心”）部门整体支出进行了绩效自评，现将有关情况报告如下：</w:t>
      </w:r>
    </w:p>
    <w:p w14:paraId="45234C6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800" w:firstLineChars="250"/>
        <w:jc w:val="left"/>
        <w:rPr>
          <w:rFonts w:hint="default" w:ascii="Times New Roman" w:hAnsi="Times New Roman" w:eastAsia="黑体" w:cs="Times New Roman"/>
          <w:sz w:val="32"/>
          <w:szCs w:val="32"/>
        </w:rPr>
      </w:pPr>
      <w:bookmarkStart w:id="0" w:name="_Toc19157"/>
      <w:bookmarkStart w:id="1" w:name="_Toc23798"/>
      <w:r>
        <w:rPr>
          <w:rFonts w:hint="default" w:ascii="Times New Roman" w:hAnsi="Times New Roman" w:eastAsia="黑体" w:cs="Times New Roman"/>
          <w:sz w:val="32"/>
          <w:szCs w:val="32"/>
        </w:rPr>
        <w:t>一、</w:t>
      </w:r>
      <w:r>
        <w:rPr>
          <w:rFonts w:hint="default" w:ascii="Times New Roman" w:hAnsi="Times New Roman" w:eastAsia="黑体" w:cs="Times New Roman"/>
          <w:kern w:val="0"/>
          <w:sz w:val="32"/>
          <w:szCs w:val="32"/>
        </w:rPr>
        <w:t>部门（单位）基本情况</w:t>
      </w:r>
    </w:p>
    <w:p w14:paraId="413FFEF1">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kern w:val="0"/>
          <w:sz w:val="32"/>
          <w:szCs w:val="32"/>
        </w:rPr>
      </w:pPr>
      <w:r>
        <w:rPr>
          <w:rFonts w:hint="default" w:ascii="Times New Roman" w:hAnsi="Times New Roman" w:eastAsia="楷体_GB2312" w:cs="Times New Roman"/>
          <w:sz w:val="32"/>
          <w:szCs w:val="32"/>
        </w:rPr>
        <w:t>（一）机构、人员构成</w:t>
      </w:r>
    </w:p>
    <w:p w14:paraId="060336CA">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县公路建养中心为县正科级公益一类事业单位，一级预算。单位现有</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个机关股室机构，下设1个</w:t>
      </w:r>
      <w:r>
        <w:rPr>
          <w:rFonts w:hint="default" w:ascii="Times New Roman" w:hAnsi="Times New Roman" w:eastAsia="仿宋_GB2312" w:cs="Times New Roman"/>
          <w:kern w:val="0"/>
          <w:sz w:val="32"/>
          <w:szCs w:val="32"/>
        </w:rPr>
        <w:t>运输治超检测站</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分设南北2个养护工区1</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个道班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管养国道1条、省道7条、县道7条、乡道1条，共370.177公里，管养公路桥梁110座。</w:t>
      </w:r>
      <w:r>
        <w:rPr>
          <w:rFonts w:hint="default" w:ascii="Times New Roman" w:hAnsi="Times New Roman" w:eastAsia="仿宋_GB2312" w:cs="Times New Roman"/>
          <w:sz w:val="32"/>
          <w:szCs w:val="32"/>
        </w:rPr>
        <w:t>单位核</w:t>
      </w:r>
      <w:r>
        <w:rPr>
          <w:rFonts w:hint="default" w:ascii="Times New Roman" w:hAnsi="Times New Roman" w:eastAsia="仿宋_GB2312" w:cs="Times New Roman"/>
          <w:sz w:val="32"/>
          <w:szCs w:val="32"/>
          <w:highlight w:val="none"/>
        </w:rPr>
        <w:t>定编制数</w:t>
      </w:r>
      <w:r>
        <w:rPr>
          <w:rFonts w:hint="eastAsia" w:ascii="Times New Roman" w:hAnsi="Times New Roman" w:eastAsia="仿宋_GB2312" w:cs="Times New Roman"/>
          <w:sz w:val="32"/>
          <w:szCs w:val="32"/>
          <w:highlight w:val="none"/>
          <w:lang w:val="en-US" w:eastAsia="zh-CN"/>
        </w:rPr>
        <w:t>167</w:t>
      </w:r>
      <w:r>
        <w:rPr>
          <w:rFonts w:hint="default" w:ascii="Times New Roman" w:hAnsi="Times New Roman" w:eastAsia="仿宋_GB2312" w:cs="Times New Roman"/>
          <w:sz w:val="32"/>
          <w:szCs w:val="32"/>
          <w:highlight w:val="none"/>
        </w:rPr>
        <w:t>人，202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年底</w:t>
      </w:r>
      <w:r>
        <w:rPr>
          <w:rFonts w:hint="eastAsia" w:ascii="仿宋" w:hAnsi="仿宋" w:eastAsia="仿宋" w:cs="仿宋"/>
          <w:bCs/>
          <w:color w:val="auto"/>
          <w:kern w:val="0"/>
          <w:sz w:val="32"/>
          <w:szCs w:val="32"/>
          <w:highlight w:val="none"/>
        </w:rPr>
        <w:t>实有</w:t>
      </w:r>
      <w:r>
        <w:rPr>
          <w:rFonts w:hint="default" w:ascii="Times New Roman" w:hAnsi="Times New Roman" w:eastAsia="仿宋_GB2312" w:cs="Times New Roman"/>
          <w:sz w:val="32"/>
          <w:szCs w:val="32"/>
          <w:highlight w:val="none"/>
        </w:rPr>
        <w:t>在职人数1</w:t>
      </w:r>
      <w:r>
        <w:rPr>
          <w:rFonts w:hint="eastAsia" w:ascii="Times New Roman" w:hAnsi="Times New Roman" w:eastAsia="仿宋_GB2312" w:cs="Times New Roman"/>
          <w:sz w:val="32"/>
          <w:szCs w:val="32"/>
          <w:highlight w:val="none"/>
          <w:lang w:val="en-US" w:eastAsia="zh-CN"/>
        </w:rPr>
        <w:t>69</w:t>
      </w:r>
      <w:r>
        <w:rPr>
          <w:rFonts w:hint="default" w:ascii="Times New Roman" w:hAnsi="Times New Roman" w:eastAsia="仿宋_GB2312" w:cs="Times New Roman"/>
          <w:sz w:val="32"/>
          <w:szCs w:val="32"/>
          <w:highlight w:val="none"/>
        </w:rPr>
        <w:t>人，局机关</w:t>
      </w:r>
      <w:r>
        <w:rPr>
          <w:rFonts w:hint="eastAsia" w:ascii="Times New Roman" w:hAnsi="Times New Roman" w:eastAsia="仿宋_GB2312" w:cs="Times New Roman"/>
          <w:sz w:val="32"/>
          <w:szCs w:val="32"/>
          <w:highlight w:val="none"/>
          <w:lang w:eastAsia="zh-CN"/>
        </w:rPr>
        <w:t>事业</w:t>
      </w:r>
      <w:r>
        <w:rPr>
          <w:rFonts w:hint="default" w:ascii="Times New Roman" w:hAnsi="Times New Roman" w:eastAsia="仿宋_GB2312" w:cs="Times New Roman"/>
          <w:sz w:val="32"/>
          <w:szCs w:val="32"/>
          <w:highlight w:val="none"/>
        </w:rPr>
        <w:t>编制4</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人，现有公务员</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人。</w:t>
      </w:r>
    </w:p>
    <w:p w14:paraId="5F82D475">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（二）单位主要职责</w:t>
      </w:r>
    </w:p>
    <w:p w14:paraId="608A9ADA">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公路建养中心贯彻落实党中央、省委、市委和县委关于公路工作的方针政策、决策部署和具体要求，按照县交通运输局的职责分工开展工作，在履行职责过程中坚持和加强党对公路工作的集中统一领导。主要职责是：</w:t>
      </w:r>
    </w:p>
    <w:p w14:paraId="09B0FEB7">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1、参与拟订全县公路行业发展战略、中长期发展规划、年度计划及相关规范性文件。</w:t>
      </w:r>
    </w:p>
    <w:p w14:paraId="11D26894">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2、协助开展公路项目前期工作审查及后评估相关事务性工作，负责协调实施主体推进规划实施。</w:t>
      </w:r>
    </w:p>
    <w:p w14:paraId="40CB5E8D">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3、承担干线公路、县道日常养护、小修养护工作，指导乡（镇）、村开展乡道、村道养护工作。</w:t>
      </w:r>
    </w:p>
    <w:p w14:paraId="1FF4957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4、参与全县公路建设、改造、养护年度建议计划初步审核事务性工作和承担实施过程中的具体事务性工作。</w:t>
      </w:r>
    </w:p>
    <w:p w14:paraId="4E51FB5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5、承担全县公路建设管理具体事务性工作，参与目标管理考核。</w:t>
      </w:r>
    </w:p>
    <w:p w14:paraId="2ADB8A39">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6、参与全县公路养护工程质量安全监督管理与市场监管相关技术性、事务性工作；参与指导全县农村公路养护工程质量安全监督管理工作。</w:t>
      </w:r>
    </w:p>
    <w:p w14:paraId="37257FA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7、承担全县公路路网监测和应急处置工作。</w:t>
      </w:r>
    </w:p>
    <w:p w14:paraId="4DC8168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8、承担全县公路行业统计信息调查、技术交流、科技成果转化、智慧公路和信息化等事务性工作。</w:t>
      </w:r>
    </w:p>
    <w:p w14:paraId="53B692A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9、承担所辖公路路域环境管理和标志标线管理、指路体系建设，维护公路路产路权、服务设施、配合制止各类侵占公路（公路用地）、破坏公路设施等行为。</w:t>
      </w:r>
    </w:p>
    <w:p w14:paraId="4D536D6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10、完成县交通运输局交办的其他事项。</w:t>
      </w:r>
    </w:p>
    <w:bookmarkEnd w:id="0"/>
    <w:bookmarkEnd w:id="1"/>
    <w:p w14:paraId="27D8B0E3">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(三）部门财务情况</w:t>
      </w:r>
    </w:p>
    <w:p w14:paraId="19615F3B">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1.资产负债及净资产情况</w:t>
      </w:r>
    </w:p>
    <w:p w14:paraId="6E2D8E0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sz w:val="32"/>
          <w:szCs w:val="32"/>
          <w:highlight w:val="none"/>
        </w:rPr>
      </w:pPr>
      <w:r>
        <w:rPr>
          <w:rFonts w:hint="default" w:ascii="Times New Roman" w:hAnsi="Times New Roman" w:eastAsia="仿宋_GB2312" w:cs="Times New Roman"/>
          <w:sz w:val="32"/>
          <w:szCs w:val="32"/>
          <w:highlight w:val="none"/>
        </w:rPr>
        <w:t>截至202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年12月31日资产总额</w:t>
      </w:r>
      <w:r>
        <w:rPr>
          <w:rFonts w:hint="eastAsia" w:ascii="Times New Roman" w:hAnsi="Times New Roman" w:eastAsia="仿宋_GB2312" w:cs="Times New Roman"/>
          <w:sz w:val="32"/>
          <w:szCs w:val="32"/>
          <w:highlight w:val="none"/>
          <w:lang w:val="en-US" w:eastAsia="zh-CN"/>
        </w:rPr>
        <w:t>391963.44</w:t>
      </w:r>
      <w:r>
        <w:rPr>
          <w:rFonts w:hint="default" w:ascii="Times New Roman" w:hAnsi="Times New Roman" w:eastAsia="仿宋_GB2312" w:cs="Times New Roman"/>
          <w:sz w:val="32"/>
          <w:szCs w:val="32"/>
          <w:highlight w:val="none"/>
        </w:rPr>
        <w:t>万元，负债总额</w:t>
      </w:r>
      <w:r>
        <w:rPr>
          <w:rFonts w:hint="eastAsia" w:ascii="Times New Roman" w:hAnsi="Times New Roman" w:eastAsia="仿宋_GB2312" w:cs="Times New Roman"/>
          <w:sz w:val="32"/>
          <w:szCs w:val="32"/>
          <w:highlight w:val="none"/>
          <w:lang w:val="en-US" w:eastAsia="zh-CN"/>
        </w:rPr>
        <w:t>37.3</w:t>
      </w:r>
      <w:r>
        <w:rPr>
          <w:rFonts w:hint="default" w:ascii="Times New Roman" w:hAnsi="Times New Roman" w:eastAsia="仿宋_GB2312" w:cs="Times New Roman"/>
          <w:sz w:val="32"/>
          <w:szCs w:val="32"/>
          <w:highlight w:val="none"/>
        </w:rPr>
        <w:t>万元，净资产总额39</w:t>
      </w:r>
      <w:r>
        <w:rPr>
          <w:rFonts w:hint="eastAsia" w:ascii="Times New Roman" w:hAnsi="Times New Roman" w:eastAsia="仿宋_GB2312" w:cs="Times New Roman"/>
          <w:sz w:val="32"/>
          <w:szCs w:val="32"/>
          <w:highlight w:val="none"/>
          <w:lang w:val="en-US" w:eastAsia="zh-CN"/>
        </w:rPr>
        <w:t>1926.14</w:t>
      </w:r>
      <w:r>
        <w:rPr>
          <w:rFonts w:hint="default" w:ascii="Times New Roman" w:hAnsi="Times New Roman" w:eastAsia="仿宋_GB2312" w:cs="Times New Roman"/>
          <w:sz w:val="32"/>
          <w:szCs w:val="32"/>
          <w:highlight w:val="none"/>
        </w:rPr>
        <w:t>万元。</w:t>
      </w:r>
    </w:p>
    <w:p w14:paraId="2B5298B5">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部门整体支出情况</w:t>
      </w:r>
    </w:p>
    <w:p w14:paraId="07894F2A">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年部门年初预算收入（含所属二级预算单位）</w:t>
      </w:r>
      <w:r>
        <w:rPr>
          <w:rFonts w:hint="eastAsia" w:ascii="Times New Roman" w:hAnsi="Times New Roman" w:eastAsia="仿宋" w:cs="Times New Roman"/>
          <w:sz w:val="32"/>
          <w:szCs w:val="32"/>
          <w:lang w:val="en-US" w:eastAsia="zh-CN"/>
        </w:rPr>
        <w:t>2411.41</w:t>
      </w:r>
      <w:r>
        <w:rPr>
          <w:rFonts w:hint="default" w:ascii="Times New Roman" w:hAnsi="Times New Roman" w:eastAsia="仿宋" w:cs="Times New Roman"/>
          <w:sz w:val="32"/>
          <w:szCs w:val="32"/>
        </w:rPr>
        <w:t>万元，</w:t>
      </w:r>
      <w:r>
        <w:rPr>
          <w:rFonts w:hint="default" w:ascii="Times New Roman" w:hAnsi="Times New Roman" w:eastAsia="仿宋" w:cs="Times New Roman"/>
          <w:color w:val="000000" w:themeColor="text1"/>
          <w:sz w:val="32"/>
          <w:szCs w:val="32"/>
          <w:highlight w:val="none"/>
          <w:shd w:val="clear" w:fill="FFFFFF" w:themeFill="background1"/>
          <w14:textFill>
            <w14:solidFill>
              <w14:schemeClr w14:val="tx1"/>
            </w14:solidFill>
          </w14:textFill>
        </w:rPr>
        <w:t>年内调整预算</w:t>
      </w:r>
      <w:r>
        <w:rPr>
          <w:rFonts w:hint="eastAsia" w:ascii="Times New Roman" w:hAnsi="Times New Roman" w:eastAsia="仿宋" w:cs="Times New Roman"/>
          <w:color w:val="000000" w:themeColor="text1"/>
          <w:sz w:val="32"/>
          <w:szCs w:val="32"/>
          <w:highlight w:val="none"/>
          <w:shd w:val="clear" w:fill="FFFFFF" w:themeFill="background1"/>
          <w:lang w:val="en-US" w:eastAsia="zh-CN"/>
          <w14:textFill>
            <w14:solidFill>
              <w14:schemeClr w14:val="tx1"/>
            </w14:solidFill>
          </w14:textFill>
        </w:rPr>
        <w:t>6834.71</w:t>
      </w:r>
      <w:r>
        <w:rPr>
          <w:rFonts w:hint="default" w:ascii="Times New Roman" w:hAnsi="Times New Roman" w:eastAsia="仿宋" w:cs="Times New Roman"/>
          <w:color w:val="000000" w:themeColor="text1"/>
          <w:sz w:val="32"/>
          <w:szCs w:val="32"/>
          <w:highlight w:val="none"/>
          <w:shd w:val="clear" w:fill="FFFFFF" w:themeFill="background1"/>
          <w14:textFill>
            <w14:solidFill>
              <w14:schemeClr w14:val="tx1"/>
            </w14:solidFill>
          </w14:textFill>
        </w:rPr>
        <w:t>万元</w:t>
      </w:r>
      <w:r>
        <w:rPr>
          <w:rFonts w:hint="default" w:ascii="Times New Roman" w:hAnsi="Times New Roman" w:eastAsia="仿宋" w:cs="Times New Roman"/>
          <w:sz w:val="32"/>
          <w:szCs w:val="32"/>
          <w:shd w:val="clear" w:fill="FFFFFF" w:themeFill="background1"/>
        </w:rPr>
        <w:t>，</w:t>
      </w:r>
      <w:r>
        <w:rPr>
          <w:rFonts w:hint="default" w:ascii="Times New Roman" w:hAnsi="Times New Roman" w:eastAsia="仿宋" w:cs="Times New Roman"/>
          <w:sz w:val="32"/>
          <w:szCs w:val="32"/>
        </w:rPr>
        <w:t>决算收入</w:t>
      </w:r>
      <w:r>
        <w:rPr>
          <w:rFonts w:hint="eastAsia" w:ascii="Times New Roman" w:hAnsi="Times New Roman" w:eastAsia="仿宋" w:cs="Times New Roman"/>
          <w:sz w:val="32"/>
          <w:szCs w:val="32"/>
          <w:lang w:val="en-US" w:eastAsia="zh-CN"/>
        </w:rPr>
        <w:t>9246.12</w:t>
      </w:r>
      <w:r>
        <w:rPr>
          <w:rFonts w:hint="default" w:ascii="Times New Roman" w:hAnsi="Times New Roman" w:eastAsia="仿宋" w:cs="Times New Roman"/>
          <w:sz w:val="32"/>
          <w:szCs w:val="32"/>
        </w:rPr>
        <w:t>万元，其中：一般公共预算</w:t>
      </w:r>
      <w:r>
        <w:rPr>
          <w:rFonts w:hint="eastAsia" w:ascii="Times New Roman" w:hAnsi="Times New Roman" w:eastAsia="仿宋" w:cs="Times New Roman"/>
          <w:sz w:val="32"/>
          <w:szCs w:val="32"/>
          <w:lang w:val="en-US" w:eastAsia="zh-CN"/>
        </w:rPr>
        <w:t>9246.12</w:t>
      </w:r>
      <w:r>
        <w:rPr>
          <w:rFonts w:hint="default" w:ascii="Times New Roman" w:hAnsi="Times New Roman" w:eastAsia="仿宋" w:cs="Times New Roman"/>
          <w:sz w:val="32"/>
          <w:szCs w:val="32"/>
        </w:rPr>
        <w:t>万元、政府性基金预算0万元、国有资本经营预算0万元、事业收入0万元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上年结转</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全年可执行预算合计</w:t>
      </w:r>
      <w:r>
        <w:rPr>
          <w:rFonts w:hint="eastAsia" w:ascii="Times New Roman" w:hAnsi="Times New Roman" w:eastAsia="仿宋" w:cs="Times New Roman"/>
          <w:sz w:val="32"/>
          <w:szCs w:val="32"/>
          <w:lang w:val="en-US" w:eastAsia="zh-CN"/>
        </w:rPr>
        <w:t>9246.12</w:t>
      </w:r>
      <w:r>
        <w:rPr>
          <w:rFonts w:hint="default" w:ascii="Times New Roman" w:hAnsi="Times New Roman" w:eastAsia="仿宋" w:cs="Times New Roman"/>
          <w:sz w:val="32"/>
          <w:szCs w:val="32"/>
        </w:rPr>
        <w:t>万元。</w:t>
      </w:r>
    </w:p>
    <w:p w14:paraId="703C1C7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年部门年初预算支出</w:t>
      </w:r>
      <w:r>
        <w:rPr>
          <w:rFonts w:hint="eastAsia" w:ascii="Times New Roman" w:hAnsi="Times New Roman" w:eastAsia="仿宋" w:cs="Times New Roman"/>
          <w:sz w:val="32"/>
          <w:szCs w:val="32"/>
          <w:highlight w:val="none"/>
          <w:lang w:val="en-US" w:eastAsia="zh-CN"/>
        </w:rPr>
        <w:t>2411.41</w:t>
      </w:r>
      <w:r>
        <w:rPr>
          <w:rFonts w:hint="default" w:ascii="Times New Roman" w:hAnsi="Times New Roman" w:eastAsia="仿宋" w:cs="Times New Roman"/>
          <w:sz w:val="32"/>
          <w:szCs w:val="32"/>
          <w:highlight w:val="none"/>
        </w:rPr>
        <w:t>万元，其中：基本支出</w:t>
      </w:r>
      <w:r>
        <w:rPr>
          <w:rFonts w:hint="eastAsia" w:ascii="Times New Roman" w:hAnsi="Times New Roman" w:eastAsia="仿宋" w:cs="Times New Roman"/>
          <w:sz w:val="32"/>
          <w:szCs w:val="32"/>
          <w:highlight w:val="none"/>
          <w:lang w:val="en-US" w:eastAsia="zh-CN"/>
        </w:rPr>
        <w:t>2411.41</w:t>
      </w:r>
      <w:r>
        <w:rPr>
          <w:rFonts w:hint="default" w:ascii="Times New Roman" w:hAnsi="Times New Roman" w:eastAsia="仿宋" w:cs="Times New Roman"/>
          <w:sz w:val="32"/>
          <w:szCs w:val="32"/>
          <w:highlight w:val="none"/>
        </w:rPr>
        <w:t>万元，项目支出</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万元。部</w:t>
      </w:r>
      <w:r>
        <w:rPr>
          <w:rFonts w:hint="default" w:ascii="Times New Roman" w:hAnsi="Times New Roman" w:eastAsia="仿宋" w:cs="Times New Roman"/>
          <w:sz w:val="32"/>
          <w:szCs w:val="32"/>
        </w:rPr>
        <w:t>门决算支出9246.12万元，其中：基本支出</w:t>
      </w:r>
      <w:r>
        <w:rPr>
          <w:rFonts w:hint="eastAsia" w:ascii="Times New Roman" w:hAnsi="Times New Roman" w:eastAsia="仿宋" w:cs="Times New Roman"/>
          <w:sz w:val="32"/>
          <w:szCs w:val="32"/>
          <w:lang w:val="en-US" w:eastAsia="zh-CN"/>
        </w:rPr>
        <w:t>2637.82</w:t>
      </w:r>
      <w:r>
        <w:rPr>
          <w:rFonts w:hint="default" w:ascii="Times New Roman" w:hAnsi="Times New Roman" w:eastAsia="仿宋" w:cs="Times New Roman"/>
          <w:sz w:val="32"/>
          <w:szCs w:val="32"/>
        </w:rPr>
        <w:t>万元，项目支出</w:t>
      </w:r>
      <w:r>
        <w:rPr>
          <w:rFonts w:hint="eastAsia" w:ascii="Times New Roman" w:hAnsi="Times New Roman" w:eastAsia="仿宋" w:cs="Times New Roman"/>
          <w:sz w:val="32"/>
          <w:szCs w:val="32"/>
          <w:lang w:val="en-US" w:eastAsia="zh-CN"/>
        </w:rPr>
        <w:t>6608.3</w:t>
      </w:r>
      <w:r>
        <w:rPr>
          <w:rFonts w:hint="default" w:ascii="Times New Roman" w:hAnsi="Times New Roman" w:eastAsia="仿宋" w:cs="Times New Roman"/>
          <w:sz w:val="32"/>
          <w:szCs w:val="32"/>
        </w:rPr>
        <w:t>万元。</w:t>
      </w:r>
    </w:p>
    <w:p w14:paraId="43F79DFC">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年末结转结余</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p>
    <w:p w14:paraId="6A9A3C6A">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(四)部门绩效目标</w:t>
      </w:r>
    </w:p>
    <w:p w14:paraId="3BD53884">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1.部门绩效总目标</w:t>
      </w:r>
    </w:p>
    <w:p w14:paraId="45B7C333">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切实抓好公路建设、路政治超和公路养护等各项工作，保障公路通行的畅通、舒适、干净、美丽，服务好全县境内的人民群众的出行。为桃源人民提供便捷、安全、畅通、舒适的公路交通环境，促进公路运输事业繁荣和经济社会发展。</w:t>
      </w:r>
    </w:p>
    <w:p w14:paraId="0E5A0D87">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2.部门202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年度绩效目标</w:t>
      </w:r>
    </w:p>
    <w:p w14:paraId="0B6E2826">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color w:val="auto"/>
          <w:sz w:val="32"/>
          <w:szCs w:val="32"/>
        </w:rPr>
        <w:t>数量指标</w:t>
      </w:r>
      <w:r>
        <w:rPr>
          <w:rFonts w:hint="default" w:ascii="Times New Roman" w:hAnsi="Times New Roman" w:eastAsia="仿宋" w:cs="Times New Roman"/>
          <w:sz w:val="32"/>
          <w:szCs w:val="32"/>
        </w:rPr>
        <w:t>。全力抓好公路养护</w:t>
      </w:r>
      <w:r>
        <w:rPr>
          <w:rFonts w:hint="default" w:ascii="Times New Roman" w:hAnsi="Times New Roman" w:eastAsia="仿宋" w:cs="Times New Roman"/>
          <w:color w:val="000000"/>
          <w:sz w:val="32"/>
          <w:szCs w:val="32"/>
        </w:rPr>
        <w:t>，全局</w:t>
      </w:r>
      <w:r>
        <w:rPr>
          <w:rFonts w:hint="default" w:ascii="Times New Roman" w:hAnsi="Times New Roman" w:eastAsia="仿宋" w:cs="Times New Roman"/>
          <w:sz w:val="32"/>
          <w:szCs w:val="32"/>
        </w:rPr>
        <w:t>370.177</w:t>
      </w:r>
      <w:r>
        <w:rPr>
          <w:rFonts w:hint="default" w:ascii="Times New Roman" w:hAnsi="Times New Roman" w:eastAsia="仿宋" w:cs="Times New Roman"/>
          <w:color w:val="000000"/>
          <w:sz w:val="32"/>
          <w:szCs w:val="32"/>
        </w:rPr>
        <w:t>公里的国省县道及110座桥梁日常养护到位。完成公路大修里程</w:t>
      </w:r>
      <w:r>
        <w:rPr>
          <w:rFonts w:hint="eastAsia" w:ascii="Times New Roman" w:hAnsi="Times New Roman" w:eastAsia="仿宋" w:cs="Times New Roman"/>
          <w:color w:val="000000"/>
          <w:sz w:val="32"/>
          <w:szCs w:val="32"/>
          <w:lang w:val="en-US" w:eastAsia="zh-CN"/>
        </w:rPr>
        <w:t>8.83</w:t>
      </w:r>
      <w:r>
        <w:rPr>
          <w:rFonts w:hint="default" w:ascii="Times New Roman" w:hAnsi="Times New Roman" w:eastAsia="仿宋" w:cs="Times New Roman"/>
          <w:color w:val="000000"/>
          <w:sz w:val="32"/>
          <w:szCs w:val="32"/>
        </w:rPr>
        <w:t>公里</w:t>
      </w:r>
      <w:r>
        <w:rPr>
          <w:rFonts w:hint="eastAsia" w:ascii="Times New Roman" w:hAnsi="Times New Roman" w:eastAsia="仿宋" w:cs="Times New Roman"/>
          <w:color w:val="000000"/>
          <w:sz w:val="32"/>
          <w:szCs w:val="32"/>
          <w:lang w:eastAsia="zh-CN"/>
        </w:rPr>
        <w:t>，干线公路建设里程</w:t>
      </w:r>
      <w:r>
        <w:rPr>
          <w:rFonts w:hint="eastAsia" w:ascii="Times New Roman" w:hAnsi="Times New Roman" w:eastAsia="仿宋" w:cs="Times New Roman"/>
          <w:color w:val="000000"/>
          <w:sz w:val="32"/>
          <w:szCs w:val="32"/>
          <w:lang w:val="en-US" w:eastAsia="zh-CN"/>
        </w:rPr>
        <w:t>9.853公里</w:t>
      </w:r>
      <w:r>
        <w:rPr>
          <w:rFonts w:hint="default" w:ascii="Times New Roman" w:hAnsi="Times New Roman" w:eastAsia="仿宋" w:cs="Times New Roman"/>
          <w:color w:val="000000"/>
          <w:sz w:val="32"/>
          <w:szCs w:val="32"/>
        </w:rPr>
        <w:t>。完成危桥改造座数</w:t>
      </w: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座。</w:t>
      </w:r>
    </w:p>
    <w:p w14:paraId="7D33836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（2）质量指标。公路桥梁</w:t>
      </w:r>
      <w:r>
        <w:rPr>
          <w:rFonts w:hint="eastAsia" w:ascii="Times New Roman" w:hAnsi="Times New Roman" w:eastAsia="仿宋" w:cs="Times New Roman"/>
          <w:sz w:val="32"/>
          <w:szCs w:val="32"/>
          <w:lang w:eastAsia="zh-CN"/>
        </w:rPr>
        <w:t>日常</w:t>
      </w:r>
      <w:r>
        <w:rPr>
          <w:rFonts w:hint="default" w:ascii="Times New Roman" w:hAnsi="Times New Roman" w:eastAsia="仿宋" w:cs="Times New Roman"/>
          <w:sz w:val="32"/>
          <w:szCs w:val="32"/>
        </w:rPr>
        <w:t>养护质量达标率达100%。小修工程和预防性养护质量达标率100%。路面大修、危桥改造及安全隐患消除率100%。其他工作质量达标率100%。</w:t>
      </w:r>
    </w:p>
    <w:p w14:paraId="302C152A">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（3）时效指标。任务完成及时率100%。</w:t>
      </w:r>
    </w:p>
    <w:p w14:paraId="0C0F3DD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（4）成本指标。成本发生规范合理率100%。</w:t>
      </w:r>
    </w:p>
    <w:p w14:paraId="12FCFFC3">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（5）效益指标。</w:t>
      </w:r>
      <w:r>
        <w:rPr>
          <w:rFonts w:hint="default" w:ascii="Times New Roman" w:hAnsi="Times New Roman" w:eastAsia="仿宋" w:cs="Times New Roman"/>
          <w:color w:val="000000"/>
          <w:sz w:val="32"/>
          <w:szCs w:val="32"/>
        </w:rPr>
        <w:t>加强公路大中修建设，提升公路路况水平，减少群众出行时间，减少物流运输消耗成本，提高交通运输安全性，公路发展的好坏，将可以有效改善我县的路况水平，更好地保障我县公路的畅通和安全，促进县域经济社会的发展。</w:t>
      </w:r>
    </w:p>
    <w:p w14:paraId="08DBF0F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（6）满意度。社会公众满意度90%以上。</w:t>
      </w:r>
    </w:p>
    <w:p w14:paraId="49BFBCD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 一般公共预算支出情况</w:t>
      </w:r>
    </w:p>
    <w:p w14:paraId="34E6964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（一）基本支出情况</w:t>
      </w:r>
    </w:p>
    <w:p w14:paraId="59B8C37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年基本支出年初预算</w:t>
      </w:r>
      <w:r>
        <w:rPr>
          <w:rFonts w:hint="eastAsia" w:ascii="Times New Roman" w:hAnsi="Times New Roman" w:eastAsia="仿宋" w:cs="Times New Roman"/>
          <w:sz w:val="32"/>
          <w:szCs w:val="32"/>
          <w:highlight w:val="none"/>
          <w:lang w:val="en-US" w:eastAsia="zh-CN"/>
        </w:rPr>
        <w:t>2411.41</w:t>
      </w:r>
      <w:r>
        <w:rPr>
          <w:rFonts w:hint="default" w:ascii="Times New Roman" w:hAnsi="Times New Roman" w:eastAsia="仿宋_GB2312" w:cs="Times New Roman"/>
          <w:sz w:val="32"/>
          <w:szCs w:val="32"/>
          <w:highlight w:val="none"/>
        </w:rPr>
        <w:t>万元，其中：工资福利支出</w:t>
      </w:r>
      <w:r>
        <w:rPr>
          <w:rFonts w:hint="eastAsia" w:ascii="Times New Roman" w:hAnsi="Times New Roman" w:eastAsia="仿宋_GB2312" w:cs="Times New Roman"/>
          <w:sz w:val="32"/>
          <w:szCs w:val="32"/>
          <w:highlight w:val="none"/>
          <w:lang w:val="en-US" w:eastAsia="zh-CN"/>
        </w:rPr>
        <w:t>2148.43</w:t>
      </w:r>
      <w:r>
        <w:rPr>
          <w:rFonts w:hint="default" w:ascii="Times New Roman" w:hAnsi="Times New Roman" w:eastAsia="仿宋_GB2312" w:cs="Times New Roman"/>
          <w:sz w:val="32"/>
          <w:szCs w:val="32"/>
          <w:highlight w:val="none"/>
        </w:rPr>
        <w:t>万元、一般商品和服务支出</w:t>
      </w:r>
      <w:r>
        <w:rPr>
          <w:rFonts w:hint="eastAsia" w:ascii="Times New Roman" w:hAnsi="Times New Roman" w:eastAsia="仿宋_GB2312" w:cs="Times New Roman"/>
          <w:sz w:val="32"/>
          <w:szCs w:val="32"/>
          <w:highlight w:val="none"/>
          <w:lang w:val="en-US" w:eastAsia="zh-CN"/>
        </w:rPr>
        <w:t>220.36</w:t>
      </w:r>
      <w:r>
        <w:rPr>
          <w:rFonts w:hint="default" w:ascii="Times New Roman" w:hAnsi="Times New Roman" w:eastAsia="仿宋_GB2312" w:cs="Times New Roman"/>
          <w:sz w:val="32"/>
          <w:szCs w:val="32"/>
          <w:highlight w:val="none"/>
        </w:rPr>
        <w:t>万元、对个人和家庭补助</w:t>
      </w:r>
      <w:r>
        <w:rPr>
          <w:rFonts w:hint="eastAsia" w:ascii="Times New Roman" w:hAnsi="Times New Roman" w:eastAsia="仿宋_GB2312" w:cs="Times New Roman"/>
          <w:sz w:val="32"/>
          <w:szCs w:val="32"/>
          <w:highlight w:val="none"/>
          <w:lang w:val="en-US" w:eastAsia="zh-CN"/>
        </w:rPr>
        <w:t>42.62</w:t>
      </w:r>
      <w:r>
        <w:rPr>
          <w:rFonts w:hint="default" w:ascii="Times New Roman" w:hAnsi="Times New Roman" w:eastAsia="仿宋_GB2312" w:cs="Times New Roman"/>
          <w:sz w:val="32"/>
          <w:szCs w:val="32"/>
          <w:highlight w:val="none"/>
        </w:rPr>
        <w:t>万元。上年结转0万元，调整预算</w:t>
      </w:r>
      <w:r>
        <w:rPr>
          <w:rFonts w:hint="eastAsia" w:ascii="Times New Roman" w:hAnsi="Times New Roman" w:eastAsia="仿宋_GB2312" w:cs="Times New Roman"/>
          <w:sz w:val="32"/>
          <w:szCs w:val="32"/>
          <w:highlight w:val="none"/>
          <w:lang w:val="en-US" w:eastAsia="zh-CN"/>
        </w:rPr>
        <w:t>226.41</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sz w:val="32"/>
          <w:szCs w:val="32"/>
          <w:highlight w:val="none"/>
        </w:rPr>
        <w:t>元，全年可执行预算合计</w:t>
      </w:r>
      <w:r>
        <w:rPr>
          <w:rFonts w:hint="eastAsia" w:ascii="Times New Roman" w:hAnsi="Times New Roman" w:eastAsia="仿宋" w:cs="Times New Roman"/>
          <w:sz w:val="32"/>
          <w:szCs w:val="32"/>
          <w:lang w:val="en-US" w:eastAsia="zh-CN"/>
        </w:rPr>
        <w:t>2637.82</w:t>
      </w:r>
      <w:r>
        <w:rPr>
          <w:rFonts w:hint="default" w:ascii="Times New Roman" w:hAnsi="Times New Roman" w:eastAsia="仿宋_GB2312" w:cs="Times New Roman"/>
          <w:sz w:val="32"/>
          <w:szCs w:val="32"/>
          <w:highlight w:val="none"/>
        </w:rPr>
        <w:t>万元。</w:t>
      </w:r>
    </w:p>
    <w:p w14:paraId="41F1FDF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年基本支出决算</w:t>
      </w:r>
      <w:r>
        <w:rPr>
          <w:rFonts w:hint="eastAsia" w:ascii="Times New Roman" w:hAnsi="Times New Roman" w:eastAsia="仿宋" w:cs="Times New Roman"/>
          <w:sz w:val="32"/>
          <w:szCs w:val="32"/>
          <w:lang w:val="en-US" w:eastAsia="zh-CN"/>
        </w:rPr>
        <w:t>2637.82</w:t>
      </w:r>
      <w:r>
        <w:rPr>
          <w:rFonts w:hint="default" w:ascii="Times New Roman" w:hAnsi="Times New Roman" w:eastAsia="仿宋_GB2312" w:cs="Times New Roman"/>
          <w:sz w:val="32"/>
          <w:szCs w:val="32"/>
        </w:rPr>
        <w:t>万元，其中：工资福利支出</w:t>
      </w:r>
      <w:r>
        <w:rPr>
          <w:rFonts w:hint="eastAsia" w:ascii="Times New Roman" w:hAnsi="Times New Roman" w:eastAsia="仿宋_GB2312" w:cs="Times New Roman"/>
          <w:sz w:val="32"/>
          <w:szCs w:val="32"/>
          <w:lang w:val="en-US" w:eastAsia="zh-CN"/>
        </w:rPr>
        <w:t>2395.36</w:t>
      </w:r>
      <w:r>
        <w:rPr>
          <w:rFonts w:hint="default" w:ascii="Times New Roman" w:hAnsi="Times New Roman" w:eastAsia="仿宋_GB2312" w:cs="Times New Roman"/>
          <w:sz w:val="32"/>
          <w:szCs w:val="32"/>
        </w:rPr>
        <w:t>万元、一般商品和服务支出</w:t>
      </w:r>
      <w:r>
        <w:rPr>
          <w:rFonts w:hint="eastAsia" w:ascii="Times New Roman" w:hAnsi="Times New Roman" w:eastAsia="仿宋_GB2312" w:cs="Times New Roman"/>
          <w:sz w:val="32"/>
          <w:szCs w:val="32"/>
          <w:lang w:val="en-US" w:eastAsia="zh-CN"/>
        </w:rPr>
        <w:t>165.86</w:t>
      </w:r>
      <w:r>
        <w:rPr>
          <w:rFonts w:hint="default" w:ascii="Times New Roman" w:hAnsi="Times New Roman" w:eastAsia="仿宋_GB2312" w:cs="Times New Roman"/>
          <w:sz w:val="32"/>
          <w:szCs w:val="32"/>
        </w:rPr>
        <w:t>万元、对个人和家庭补助</w:t>
      </w:r>
      <w:r>
        <w:rPr>
          <w:rFonts w:hint="eastAsia" w:ascii="Times New Roman" w:hAnsi="Times New Roman" w:eastAsia="仿宋_GB2312" w:cs="Times New Roman"/>
          <w:sz w:val="32"/>
          <w:szCs w:val="32"/>
          <w:lang w:val="en-US" w:eastAsia="zh-CN"/>
        </w:rPr>
        <w:t>76.6</w:t>
      </w:r>
      <w:r>
        <w:rPr>
          <w:rFonts w:hint="default" w:ascii="Times New Roman" w:hAnsi="Times New Roman" w:eastAsia="仿宋_GB2312" w:cs="Times New Roman"/>
          <w:sz w:val="32"/>
          <w:szCs w:val="32"/>
        </w:rPr>
        <w:t>万元。年末结转</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3ABDDFB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（二）项目支出情况</w:t>
      </w:r>
    </w:p>
    <w:p w14:paraId="08BFD9F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年项目支出年初预算</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万元。上年结转</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万元，追加调整</w:t>
      </w:r>
      <w:r>
        <w:rPr>
          <w:rFonts w:hint="eastAsia" w:ascii="Times New Roman" w:hAnsi="Times New Roman" w:eastAsia="仿宋" w:cs="Times New Roman"/>
          <w:sz w:val="32"/>
          <w:szCs w:val="32"/>
          <w:lang w:val="en-US" w:eastAsia="zh-CN"/>
        </w:rPr>
        <w:t>6608.3</w:t>
      </w:r>
      <w:r>
        <w:rPr>
          <w:rFonts w:hint="default" w:ascii="Times New Roman" w:hAnsi="Times New Roman" w:eastAsia="仿宋_GB2312" w:cs="Times New Roman"/>
          <w:sz w:val="32"/>
          <w:szCs w:val="32"/>
        </w:rPr>
        <w:t>万元，全年可执行预算合计</w:t>
      </w:r>
      <w:r>
        <w:rPr>
          <w:rFonts w:hint="eastAsia" w:ascii="Times New Roman" w:hAnsi="Times New Roman" w:eastAsia="仿宋" w:cs="Times New Roman"/>
          <w:sz w:val="32"/>
          <w:szCs w:val="32"/>
          <w:lang w:val="en-US" w:eastAsia="zh-CN"/>
        </w:rPr>
        <w:t>6608.3</w:t>
      </w:r>
      <w:r>
        <w:rPr>
          <w:rFonts w:hint="default" w:ascii="Times New Roman" w:hAnsi="Times New Roman" w:eastAsia="仿宋_GB2312" w:cs="Times New Roman"/>
          <w:sz w:val="32"/>
          <w:szCs w:val="32"/>
        </w:rPr>
        <w:t>万元。</w:t>
      </w:r>
    </w:p>
    <w:p w14:paraId="36C6710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24"/>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年项目支出决算</w:t>
      </w:r>
      <w:r>
        <w:rPr>
          <w:rFonts w:hint="eastAsia" w:ascii="Times New Roman" w:hAnsi="Times New Roman" w:eastAsia="仿宋" w:cs="Times New Roman"/>
          <w:sz w:val="32"/>
          <w:szCs w:val="32"/>
          <w:lang w:val="en-US" w:eastAsia="zh-CN"/>
        </w:rPr>
        <w:t>6608.3</w:t>
      </w:r>
      <w:r>
        <w:rPr>
          <w:rFonts w:hint="default" w:ascii="Times New Roman" w:hAnsi="Times New Roman" w:eastAsia="仿宋_GB2312" w:cs="Times New Roman"/>
          <w:sz w:val="32"/>
          <w:szCs w:val="32"/>
        </w:rPr>
        <w:t>万元，年末结转结余</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万元。具体明细如下：</w:t>
      </w:r>
    </w:p>
    <w:p w14:paraId="10196D09">
      <w:pPr>
        <w:keepNext w:val="0"/>
        <w:keepLines w:val="0"/>
        <w:pageBreakBefore w:val="0"/>
        <w:kinsoku/>
        <w:wordWrap/>
        <w:overflowPunct/>
        <w:topLinePunct w:val="0"/>
        <w:autoSpaceDE/>
        <w:autoSpaceDN/>
        <w:bidi w:val="0"/>
        <w:adjustRightInd/>
        <w:snapToGrid/>
        <w:spacing w:line="560" w:lineRule="exact"/>
        <w:ind w:firstLine="480" w:firstLineChars="200"/>
        <w:jc w:val="righ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单位：万元</w:t>
      </w:r>
    </w:p>
    <w:tbl>
      <w:tblPr>
        <w:tblStyle w:val="14"/>
        <w:tblW w:w="8874" w:type="dxa"/>
        <w:jc w:val="center"/>
        <w:tblLayout w:type="fixed"/>
        <w:tblCellMar>
          <w:top w:w="0" w:type="dxa"/>
          <w:left w:w="0" w:type="dxa"/>
          <w:bottom w:w="0" w:type="dxa"/>
          <w:right w:w="0" w:type="dxa"/>
        </w:tblCellMar>
      </w:tblPr>
      <w:tblGrid>
        <w:gridCol w:w="692"/>
        <w:gridCol w:w="2512"/>
        <w:gridCol w:w="870"/>
        <w:gridCol w:w="915"/>
        <w:gridCol w:w="1005"/>
        <w:gridCol w:w="1020"/>
        <w:gridCol w:w="1070"/>
        <w:gridCol w:w="790"/>
      </w:tblGrid>
      <w:tr w14:paraId="2BF37EA4">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EC47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序号</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3A35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项目</w:t>
            </w:r>
          </w:p>
        </w:tc>
        <w:tc>
          <w:tcPr>
            <w:tcW w:w="870" w:type="dxa"/>
            <w:tcBorders>
              <w:top w:val="single" w:color="000000" w:sz="4" w:space="0"/>
              <w:left w:val="single" w:color="000000" w:sz="4" w:space="0"/>
              <w:right w:val="single" w:color="000000" w:sz="4" w:space="0"/>
            </w:tcBorders>
            <w:tcMar>
              <w:top w:w="15" w:type="dxa"/>
              <w:left w:w="15" w:type="dxa"/>
              <w:right w:w="15" w:type="dxa"/>
            </w:tcMar>
            <w:vAlign w:val="center"/>
          </w:tcPr>
          <w:p w14:paraId="74240DF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年初</w:t>
            </w:r>
          </w:p>
          <w:p w14:paraId="72F61DC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预算 </w:t>
            </w:r>
          </w:p>
        </w:tc>
        <w:tc>
          <w:tcPr>
            <w:tcW w:w="915" w:type="dxa"/>
            <w:tcBorders>
              <w:top w:val="single" w:color="000000" w:sz="4" w:space="0"/>
              <w:left w:val="single" w:color="000000" w:sz="4" w:space="0"/>
              <w:right w:val="single" w:color="000000" w:sz="4" w:space="0"/>
            </w:tcBorders>
            <w:tcMar>
              <w:top w:w="15" w:type="dxa"/>
              <w:left w:w="15" w:type="dxa"/>
              <w:right w:w="15" w:type="dxa"/>
            </w:tcMar>
            <w:vAlign w:val="center"/>
          </w:tcPr>
          <w:p w14:paraId="44E6423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上年</w:t>
            </w:r>
          </w:p>
          <w:p w14:paraId="262DEB5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结转 </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8C000A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本年</w:t>
            </w:r>
          </w:p>
          <w:p w14:paraId="7763104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调整 </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9F97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可执行</w:t>
            </w:r>
          </w:p>
          <w:p w14:paraId="664AEA2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指标 </w:t>
            </w:r>
          </w:p>
        </w:tc>
        <w:tc>
          <w:tcPr>
            <w:tcW w:w="1070" w:type="dxa"/>
            <w:tcBorders>
              <w:top w:val="single" w:color="000000" w:sz="4" w:space="0"/>
              <w:left w:val="single" w:color="000000" w:sz="4" w:space="0"/>
              <w:right w:val="single" w:color="000000" w:sz="4" w:space="0"/>
            </w:tcBorders>
            <w:tcMar>
              <w:top w:w="15" w:type="dxa"/>
              <w:left w:w="15" w:type="dxa"/>
              <w:right w:w="15" w:type="dxa"/>
            </w:tcMar>
            <w:vAlign w:val="center"/>
          </w:tcPr>
          <w:p w14:paraId="27D9616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决算</w:t>
            </w:r>
          </w:p>
          <w:p w14:paraId="1E8C7A0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金额 </w:t>
            </w:r>
          </w:p>
        </w:tc>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89DC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结转</w:t>
            </w:r>
          </w:p>
          <w:p w14:paraId="7CB8D0F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结余</w:t>
            </w:r>
          </w:p>
        </w:tc>
      </w:tr>
      <w:tr w14:paraId="2030AD08">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2124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1</w:t>
            </w:r>
          </w:p>
        </w:tc>
        <w:tc>
          <w:tcPr>
            <w:tcW w:w="2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9F138">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三阳港至向家桥公路改造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C2FC2">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02A80">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5948C">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393.5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E4E7C">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393.5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5837B">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393.5</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5FE07">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7AC09609">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794ED">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78B1">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公路大中修</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75508">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F30C7">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D5666">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1206.5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F1979">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1206.5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9DAE8">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1206.5</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AD460">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151D78A2">
        <w:tblPrEx>
          <w:tblCellMar>
            <w:top w:w="0" w:type="dxa"/>
            <w:left w:w="0" w:type="dxa"/>
            <w:bottom w:w="0" w:type="dxa"/>
            <w:right w:w="0" w:type="dxa"/>
          </w:tblCellMar>
        </w:tblPrEx>
        <w:trPr>
          <w:trHeight w:val="1095"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B9C8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3</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67D43">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钟家铺至牛车河公路建设</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89701">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D4DFA">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21336">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D3A8B">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2500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6BB8F">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2500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32C68">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4B1DF782">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F8AD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4</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0730">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公路大中修</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1457D">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EFE57">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7F02A">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984.19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DC34E">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984.19</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262C9">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984.19</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D092A">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1731AB6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1B3D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5</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0CA2">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危桥改造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7F38E">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638AF">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940AD">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501.01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41B51">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501.01</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AE274">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501.01</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E1446">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rPr>
            </w:pPr>
          </w:p>
        </w:tc>
      </w:tr>
      <w:tr w14:paraId="7509E056">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2EB6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6</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EA38">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公路超限超载治理</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04313">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7A1B6">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9E271">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35.95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FFCC3">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35.95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0B861">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35.95</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06548">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14335292">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0041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933F">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公路超限超载治理</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803C2">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8B041">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DF185">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54.64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54E33">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54.64</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A566E">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54.64</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EA2C0">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3B22C675">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ADF3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BE86">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桃源县沅水大桥限高系统</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853AD">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6C0E2">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E450E">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178</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569D5">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178</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11401">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178</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C299C">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1C370C29">
        <w:tblPrEx>
          <w:tblCellMar>
            <w:top w:w="0" w:type="dxa"/>
            <w:left w:w="0" w:type="dxa"/>
            <w:bottom w:w="0" w:type="dxa"/>
            <w:right w:w="0" w:type="dxa"/>
          </w:tblCellMar>
        </w:tblPrEx>
        <w:trPr>
          <w:trHeight w:val="525"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BF7C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42E9">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小修保养</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D9E1B">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8E166">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A3B10">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463.44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76B68">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463.44</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96A1F">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463.44</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6B16A">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5518660D">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AB5F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11E2">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公路大中修</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CF03F">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71B30">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EF350">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291.07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AA523">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291.07</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D95A5">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291.07</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49A6C">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408C3565">
        <w:tblPrEx>
          <w:tblCellMar>
            <w:top w:w="0" w:type="dxa"/>
            <w:left w:w="0" w:type="dxa"/>
            <w:bottom w:w="0" w:type="dxa"/>
            <w:right w:w="0" w:type="dxa"/>
          </w:tblCellMar>
        </w:tblPrEx>
        <w:trPr>
          <w:trHeight w:val="397" w:hRule="atLeast"/>
          <w:jc w:val="center"/>
        </w:trPr>
        <w:tc>
          <w:tcPr>
            <w:tcW w:w="32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91BF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合  计</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A61B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eastAsia" w:ascii="仿宋" w:hAnsi="仿宋" w:eastAsia="仿宋" w:cs="仿宋"/>
                <w:sz w:val="24"/>
                <w:szCs w:val="24"/>
              </w:rPr>
            </w:pP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413F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eastAsia" w:ascii="仿宋" w:hAnsi="仿宋" w:eastAsia="仿宋" w:cs="仿宋"/>
                <w:sz w:val="24"/>
                <w:szCs w:val="24"/>
                <w:lang w:eastAsia="zh-CN"/>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36DBC">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6608.3</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47B1C">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6608.3</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A3762">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6608.3</w:t>
            </w:r>
          </w:p>
        </w:tc>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A8F4C">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eastAsia" w:ascii="仿宋" w:hAnsi="仿宋" w:eastAsia="仿宋" w:cs="仿宋"/>
                <w:sz w:val="24"/>
                <w:szCs w:val="24"/>
              </w:rPr>
            </w:pPr>
          </w:p>
        </w:tc>
      </w:tr>
    </w:tbl>
    <w:p w14:paraId="7CD7C0D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 政府性基金预算支出情况</w:t>
      </w:r>
    </w:p>
    <w:p w14:paraId="2C48EA7D">
      <w:pPr>
        <w:keepNext w:val="0"/>
        <w:keepLines w:val="0"/>
        <w:pageBreakBefore w:val="0"/>
        <w:kinsoku/>
        <w:wordWrap/>
        <w:overflowPunct/>
        <w:topLinePunct w:val="0"/>
        <w:autoSpaceDE/>
        <w:autoSpaceDN/>
        <w:bidi w:val="0"/>
        <w:adjustRightInd/>
        <w:snapToGrid/>
        <w:spacing w:line="56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030396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 国有资本经营预算支出情况</w:t>
      </w:r>
    </w:p>
    <w:p w14:paraId="0630F930">
      <w:pPr>
        <w:keepNext w:val="0"/>
        <w:keepLines w:val="0"/>
        <w:pageBreakBefore w:val="0"/>
        <w:kinsoku/>
        <w:wordWrap/>
        <w:overflowPunct/>
        <w:topLinePunct w:val="0"/>
        <w:autoSpaceDE/>
        <w:autoSpaceDN/>
        <w:bidi w:val="0"/>
        <w:adjustRightInd/>
        <w:snapToGrid/>
        <w:spacing w:line="56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D05746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 社会保险基金预算支出情况</w:t>
      </w:r>
    </w:p>
    <w:p w14:paraId="5053AF87">
      <w:pPr>
        <w:keepNext w:val="0"/>
        <w:keepLines w:val="0"/>
        <w:pageBreakBefore w:val="0"/>
        <w:kinsoku/>
        <w:wordWrap/>
        <w:overflowPunct/>
        <w:topLinePunct w:val="0"/>
        <w:autoSpaceDE/>
        <w:autoSpaceDN/>
        <w:bidi w:val="0"/>
        <w:adjustRightInd/>
        <w:snapToGrid/>
        <w:spacing w:line="56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5EB4C21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 部门整体支出绩效情况</w:t>
      </w:r>
    </w:p>
    <w:p w14:paraId="5276956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（一）部门产出指标完成情况</w:t>
      </w:r>
    </w:p>
    <w:p w14:paraId="4FF4D20D">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sz w:val="32"/>
          <w:szCs w:val="32"/>
        </w:rPr>
        <w:t>1、</w:t>
      </w:r>
      <w:r>
        <w:rPr>
          <w:rFonts w:hint="eastAsia" w:ascii="仿宋_GB2312" w:hAnsi="仿宋_GB2312" w:eastAsia="仿宋_GB2312" w:cs="仿宋_GB2312"/>
          <w:b w:val="0"/>
          <w:bCs w:val="0"/>
          <w:sz w:val="32"/>
          <w:szCs w:val="32"/>
          <w:lang w:val="en-US" w:eastAsia="zh-CN"/>
        </w:rPr>
        <w:t>全力抓好项目建设，公路路况水平得到提高。</w:t>
      </w:r>
      <w:r>
        <w:rPr>
          <w:rFonts w:hint="eastAsia" w:ascii="仿宋_GB2312" w:hAnsi="仿宋_GB2312" w:eastAsia="仿宋_GB2312" w:cs="仿宋_GB2312"/>
          <w:b w:val="0"/>
          <w:bCs w:val="0"/>
          <w:color w:val="000000"/>
          <w:sz w:val="32"/>
          <w:szCs w:val="32"/>
          <w:lang w:val="en-US" w:eastAsia="zh-CN"/>
        </w:rPr>
        <w:t>已建设完成S315线钟家铺至牛车河9.853</w:t>
      </w:r>
      <w:r>
        <w:rPr>
          <w:rFonts w:hint="eastAsia" w:ascii="仿宋_GB2312" w:hAnsi="仿宋_GB2312" w:eastAsia="仿宋_GB2312" w:cs="仿宋_GB2312"/>
          <w:b w:val="0"/>
          <w:bCs w:val="0"/>
          <w:color w:val="000000"/>
          <w:sz w:val="32"/>
          <w:szCs w:val="32"/>
        </w:rPr>
        <w:t>km</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kern w:val="2"/>
          <w:sz w:val="32"/>
          <w:szCs w:val="32"/>
          <w:lang w:val="en-US" w:eastAsia="zh-CN" w:bidi="ar-SA"/>
        </w:rPr>
        <w:t>S311线陬市至桃源县城15.157</w:t>
      </w:r>
      <w:r>
        <w:rPr>
          <w:rFonts w:hint="eastAsia" w:ascii="仿宋_GB2312" w:hAnsi="仿宋_GB2312" w:eastAsia="仿宋_GB2312" w:cs="仿宋_GB2312"/>
          <w:b w:val="0"/>
          <w:bCs w:val="0"/>
          <w:color w:val="000000"/>
          <w:sz w:val="32"/>
          <w:szCs w:val="32"/>
        </w:rPr>
        <w:t>km</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kern w:val="2"/>
          <w:sz w:val="32"/>
          <w:szCs w:val="32"/>
          <w:lang w:val="en-US" w:eastAsia="zh-CN" w:bidi="ar-SA"/>
        </w:rPr>
        <w:t>在2025年8月</w:t>
      </w:r>
      <w:r>
        <w:rPr>
          <w:rFonts w:hint="eastAsia" w:cs="仿宋_GB2312"/>
          <w:b w:val="0"/>
          <w:bCs w:val="0"/>
          <w:kern w:val="2"/>
          <w:sz w:val="32"/>
          <w:szCs w:val="32"/>
          <w:lang w:val="en-US" w:eastAsia="zh-CN" w:bidi="ar-SA"/>
        </w:rPr>
        <w:t>份</w:t>
      </w:r>
      <w:r>
        <w:rPr>
          <w:rFonts w:hint="eastAsia" w:ascii="仿宋_GB2312" w:hAnsi="仿宋_GB2312" w:eastAsia="仿宋_GB2312" w:cs="仿宋_GB2312"/>
          <w:b w:val="0"/>
          <w:bCs w:val="0"/>
          <w:kern w:val="2"/>
          <w:sz w:val="32"/>
          <w:szCs w:val="32"/>
          <w:lang w:val="en-US" w:eastAsia="zh-CN" w:bidi="ar-SA"/>
        </w:rPr>
        <w:t>建设完成；</w:t>
      </w:r>
      <w:r>
        <w:rPr>
          <w:rFonts w:hint="eastAsia" w:ascii="仿宋_GB2312" w:hAnsi="仿宋_GB2312" w:eastAsia="仿宋_GB2312" w:cs="仿宋_GB2312"/>
          <w:b w:val="0"/>
          <w:bCs w:val="0"/>
          <w:color w:val="000000"/>
          <w:sz w:val="32"/>
          <w:szCs w:val="32"/>
          <w:lang w:val="en-US" w:eastAsia="zh-CN"/>
        </w:rPr>
        <w:t>已建设完成</w:t>
      </w:r>
      <w:r>
        <w:rPr>
          <w:rFonts w:hint="eastAsia" w:ascii="仿宋_GB2312" w:hAnsi="仿宋_GB2312" w:eastAsia="仿宋_GB2312" w:cs="仿宋_GB2312"/>
          <w:b w:val="0"/>
          <w:bCs w:val="0"/>
          <w:kern w:val="2"/>
          <w:sz w:val="32"/>
          <w:szCs w:val="32"/>
          <w:lang w:val="en-US" w:eastAsia="zh-CN" w:bidi="ar-SA"/>
        </w:rPr>
        <w:t>G319线郑家驿段5.532</w:t>
      </w:r>
      <w:r>
        <w:rPr>
          <w:rFonts w:hint="eastAsia" w:ascii="仿宋_GB2312" w:hAnsi="仿宋_GB2312" w:eastAsia="仿宋_GB2312" w:cs="仿宋_GB2312"/>
          <w:b w:val="0"/>
          <w:bCs w:val="0"/>
          <w:color w:val="000000"/>
          <w:sz w:val="32"/>
          <w:szCs w:val="32"/>
        </w:rPr>
        <w:t>km</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S238线、S311线路面大修项目（热市集镇0.793km、陬市超限站段0.5</w:t>
      </w:r>
      <w:r>
        <w:rPr>
          <w:rFonts w:hint="eastAsia" w:ascii="仿宋_GB2312" w:hAnsi="仿宋_GB2312" w:eastAsia="仿宋_GB2312" w:cs="仿宋_GB2312"/>
          <w:b w:val="0"/>
          <w:bCs w:val="0"/>
          <w:color w:val="000000"/>
          <w:sz w:val="32"/>
          <w:szCs w:val="32"/>
        </w:rPr>
        <w:t>km</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lang w:val="en-US" w:eastAsia="zh-CN"/>
        </w:rPr>
        <w:t>危桥改造1座，工程总投资</w:t>
      </w:r>
      <w:r>
        <w:rPr>
          <w:rFonts w:hint="eastAsia" w:ascii="仿宋_GB2312" w:hAnsi="仿宋_GB2312" w:eastAsia="仿宋_GB2312" w:cs="仿宋_GB2312"/>
          <w:b w:val="0"/>
          <w:bCs w:val="0"/>
          <w:sz w:val="32"/>
          <w:szCs w:val="32"/>
          <w:highlight w:val="none"/>
          <w:lang w:val="en-US" w:eastAsia="zh-CN"/>
        </w:rPr>
        <w:t>11469.50</w:t>
      </w:r>
      <w:r>
        <w:rPr>
          <w:rFonts w:hint="eastAsia" w:ascii="仿宋_GB2312" w:hAnsi="仿宋_GB2312" w:eastAsia="仿宋_GB2312" w:cs="仿宋_GB2312"/>
          <w:b w:val="0"/>
          <w:bCs w:val="0"/>
          <w:sz w:val="32"/>
          <w:szCs w:val="32"/>
          <w:lang w:val="en-US" w:eastAsia="zh-CN"/>
        </w:rPr>
        <w:t>万元。</w:t>
      </w:r>
    </w:p>
    <w:p w14:paraId="21532665">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b w:val="0"/>
          <w:bCs w:val="0"/>
          <w:sz w:val="32"/>
          <w:szCs w:val="32"/>
          <w:lang w:val="en-US" w:eastAsia="zh-CN"/>
        </w:rPr>
        <w:t>依法开展路政治超，公路环境实现了新改善。</w:t>
      </w:r>
      <w:r>
        <w:rPr>
          <w:rFonts w:hint="eastAsia" w:ascii="仿宋_GB2312" w:hAnsi="仿宋_GB2312" w:eastAsia="仿宋_GB2312" w:cs="仿宋_GB2312"/>
          <w:sz w:val="32"/>
          <w:szCs w:val="32"/>
        </w:rPr>
        <w:t>一是加强了站点拦检和处罚力度。陬市超限检测站实行路警驻站联合执法、联合办公，四班三运转24小时站点值守，做到了“逢车必检、逢超必卸、逢超必罚”。二是加速推进了科技治超。通过科技治超平台和数据分析，加大了非现场执法超限车辆处罚力度，对违法超限超载车辆，采取电话通知、邮寄挂号信等方式通知违法车主、当事人前来接受处罚，依法对其进行非现场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三是加强了流动执法和专项整治行动。为巩固治超成果，进一步加强了路面治超力度，流动执法采取不定时、不定点的方式对全县重点路段开展流动治超</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，大大降低了公路超限超载率，对超限超载运输违法行为形成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有力震慑。</w:t>
      </w:r>
    </w:p>
    <w:p w14:paraId="4773A4DB">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lang w:eastAsia="zh-CN"/>
        </w:rPr>
        <w:t>全力抓好公路养护，公路服务能力有效提升。今年来，</w:t>
      </w:r>
      <w:r>
        <w:rPr>
          <w:rFonts w:hint="eastAsia" w:ascii="仿宋_GB2312" w:hAnsi="仿宋_GB2312" w:eastAsia="仿宋_GB2312" w:cs="仿宋_GB2312"/>
          <w:color w:val="auto"/>
          <w:sz w:val="32"/>
          <w:szCs w:val="32"/>
        </w:rPr>
        <w:t>我单位以提升公路</w:t>
      </w:r>
      <w:r>
        <w:rPr>
          <w:rFonts w:hint="eastAsia" w:ascii="仿宋_GB2312" w:hAnsi="仿宋_GB2312" w:eastAsia="仿宋_GB2312" w:cs="仿宋_GB2312"/>
          <w:color w:val="auto"/>
          <w:sz w:val="32"/>
          <w:szCs w:val="32"/>
          <w:lang w:eastAsia="zh-CN"/>
        </w:rPr>
        <w:t>服务能力</w:t>
      </w:r>
      <w:r>
        <w:rPr>
          <w:rFonts w:hint="eastAsia" w:ascii="仿宋_GB2312" w:hAnsi="仿宋_GB2312" w:eastAsia="仿宋_GB2312" w:cs="仿宋_GB2312"/>
          <w:color w:val="auto"/>
          <w:sz w:val="32"/>
          <w:szCs w:val="32"/>
        </w:rPr>
        <w:t>为重点，着力改善路容路貌、提高路况水平</w:t>
      </w:r>
      <w:r>
        <w:rPr>
          <w:rFonts w:hint="eastAsia" w:ascii="仿宋_GB2312" w:hAnsi="仿宋_GB2312" w:eastAsia="仿宋_GB2312" w:cs="仿宋_GB2312"/>
          <w:color w:val="auto"/>
          <w:sz w:val="32"/>
          <w:szCs w:val="32"/>
          <w:lang w:eastAsia="zh-CN"/>
        </w:rPr>
        <w:t>，高质量的开展了公路养护工作。</w:t>
      </w:r>
      <w:r>
        <w:rPr>
          <w:rFonts w:hint="eastAsia" w:ascii="仿宋_GB2312" w:hAnsi="仿宋_GB2312" w:eastAsia="仿宋_GB2312" w:cs="仿宋_GB2312"/>
          <w:color w:val="auto"/>
          <w:sz w:val="32"/>
          <w:szCs w:val="32"/>
        </w:rPr>
        <w:t>按照“消灭次差等路、提升中等路、稳定优良等路、确保优良路率”的要求，</w:t>
      </w:r>
      <w:r>
        <w:rPr>
          <w:rFonts w:hint="eastAsia" w:ascii="仿宋_GB2312" w:hAnsi="仿宋_GB2312" w:eastAsia="仿宋_GB2312" w:cs="仿宋_GB2312"/>
          <w:color w:val="auto"/>
          <w:sz w:val="32"/>
          <w:szCs w:val="32"/>
          <w:lang w:eastAsia="zh-CN"/>
        </w:rPr>
        <w:t>主要开展了破损路面的修复、路面坑槽的挖补、路面裂缝的处治及日常路面的清扫和水沟路肩的清挖等工作。</w:t>
      </w:r>
    </w:p>
    <w:p w14:paraId="3062AB4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强化安全生产措施，公路安全实现有力保障。</w:t>
      </w:r>
      <w:r>
        <w:rPr>
          <w:rFonts w:hint="eastAsia" w:ascii="仿宋_GB2312" w:hAnsi="仿宋_GB2312" w:eastAsia="仿宋_GB2312" w:cs="仿宋_GB2312"/>
          <w:b w:val="0"/>
          <w:bCs w:val="0"/>
          <w:color w:val="auto"/>
          <w:sz w:val="32"/>
          <w:szCs w:val="32"/>
          <w:lang w:val="en-US" w:eastAsia="zh-CN"/>
        </w:rPr>
        <w:t>大力开展了安全</w:t>
      </w:r>
      <w:r>
        <w:rPr>
          <w:rFonts w:hint="eastAsia" w:ascii="仿宋_GB2312" w:hAnsi="仿宋_GB2312" w:eastAsia="仿宋_GB2312" w:cs="仿宋_GB2312"/>
          <w:b w:val="0"/>
          <w:bCs w:val="0"/>
          <w:color w:val="000000"/>
          <w:sz w:val="32"/>
          <w:szCs w:val="32"/>
          <w:lang w:val="en-US" w:eastAsia="zh-CN"/>
        </w:rPr>
        <w:t>隐患排查和整治工作，</w:t>
      </w:r>
      <w:r>
        <w:rPr>
          <w:rFonts w:hint="default" w:ascii="Times New Roman" w:hAnsi="Times New Roman" w:eastAsia="仿宋_GB2312" w:cs="Times New Roman"/>
          <w:sz w:val="32"/>
          <w:szCs w:val="32"/>
        </w:rPr>
        <w:t>确保了管养公路的通行安全。</w:t>
      </w:r>
    </w:p>
    <w:p w14:paraId="0C2851EE">
      <w:pPr>
        <w:keepNext w:val="0"/>
        <w:keepLines w:val="0"/>
        <w:pageBreakBefore w:val="0"/>
        <w:numPr>
          <w:ilvl w:val="0"/>
          <w:numId w:val="2"/>
        </w:numPr>
        <w:kinsoku/>
        <w:wordWrap/>
        <w:overflowPunct/>
        <w:topLinePunct w:val="0"/>
        <w:autoSpaceDE/>
        <w:autoSpaceDN/>
        <w:bidi w:val="0"/>
        <w:adjustRightInd/>
        <w:snapToGrid/>
        <w:spacing w:line="560" w:lineRule="exact"/>
        <w:ind w:firstLine="64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部门绩效情况</w:t>
      </w:r>
    </w:p>
    <w:p w14:paraId="42504079">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sz w:val="32"/>
          <w:szCs w:val="32"/>
          <w:highlight w:val="none"/>
        </w:rPr>
      </w:pPr>
      <w:r>
        <w:rPr>
          <w:rFonts w:hint="eastAsia" w:ascii="Times New Roman" w:hAnsi="Times New Roman" w:cs="Times New Roman"/>
          <w:color w:val="000000"/>
          <w:sz w:val="32"/>
          <w:szCs w:val="32"/>
          <w:lang w:val="en-US" w:eastAsia="zh-CN"/>
        </w:rPr>
        <w:t>1、</w:t>
      </w:r>
      <w:r>
        <w:rPr>
          <w:rFonts w:hint="default" w:ascii="Times New Roman" w:hAnsi="Times New Roman" w:eastAsia="仿宋_GB2312" w:cs="Times New Roman"/>
          <w:color w:val="000000"/>
          <w:sz w:val="32"/>
          <w:szCs w:val="32"/>
        </w:rPr>
        <w:t>公路工程方面：</w:t>
      </w:r>
      <w:r>
        <w:rPr>
          <w:rFonts w:hint="eastAsia" w:ascii="Times New Roman" w:hAnsi="Times New Roman" w:cs="Times New Roman"/>
          <w:color w:val="000000"/>
          <w:sz w:val="32"/>
          <w:szCs w:val="32"/>
          <w:lang w:eastAsia="zh-CN"/>
        </w:rPr>
        <w:t>完</w:t>
      </w:r>
      <w:r>
        <w:rPr>
          <w:rFonts w:hint="default" w:ascii="Times New Roman" w:hAnsi="Times New Roman" w:eastAsia="仿宋" w:cs="Times New Roman"/>
          <w:color w:val="000000"/>
          <w:sz w:val="32"/>
          <w:szCs w:val="32"/>
        </w:rPr>
        <w:t>成公路大修里程</w:t>
      </w:r>
      <w:r>
        <w:rPr>
          <w:rFonts w:hint="eastAsia" w:ascii="Times New Roman" w:hAnsi="Times New Roman" w:eastAsia="仿宋" w:cs="Times New Roman"/>
          <w:color w:val="000000"/>
          <w:sz w:val="32"/>
          <w:szCs w:val="32"/>
          <w:lang w:val="en-US" w:eastAsia="zh-CN"/>
        </w:rPr>
        <w:t>8.83</w:t>
      </w:r>
      <w:r>
        <w:rPr>
          <w:rFonts w:hint="default" w:ascii="Times New Roman" w:hAnsi="Times New Roman" w:eastAsia="仿宋" w:cs="Times New Roman"/>
          <w:color w:val="000000"/>
          <w:sz w:val="32"/>
          <w:szCs w:val="32"/>
        </w:rPr>
        <w:t>公里</w:t>
      </w:r>
      <w:r>
        <w:rPr>
          <w:rFonts w:hint="eastAsia" w:ascii="Times New Roman" w:hAnsi="Times New Roman" w:eastAsia="仿宋" w:cs="Times New Roman"/>
          <w:color w:val="000000"/>
          <w:sz w:val="32"/>
          <w:szCs w:val="32"/>
          <w:lang w:eastAsia="zh-CN"/>
        </w:rPr>
        <w:t>，干线公路建设里程</w:t>
      </w:r>
      <w:r>
        <w:rPr>
          <w:rFonts w:hint="eastAsia" w:ascii="Times New Roman" w:hAnsi="Times New Roman" w:eastAsia="仿宋" w:cs="Times New Roman"/>
          <w:color w:val="000000"/>
          <w:sz w:val="32"/>
          <w:szCs w:val="32"/>
          <w:lang w:val="en-US" w:eastAsia="zh-CN"/>
        </w:rPr>
        <w:t>9.853公里</w:t>
      </w:r>
      <w:r>
        <w:rPr>
          <w:rFonts w:hint="default" w:ascii="Times New Roman" w:hAnsi="Times New Roman" w:eastAsia="仿宋" w:cs="Times New Roman"/>
          <w:color w:val="000000"/>
          <w:sz w:val="32"/>
          <w:szCs w:val="32"/>
        </w:rPr>
        <w:t>。完成危桥改造座数</w:t>
      </w:r>
      <w:r>
        <w:rPr>
          <w:rFonts w:hint="eastAsia"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座。</w:t>
      </w:r>
      <w:r>
        <w:rPr>
          <w:rFonts w:hint="eastAsia" w:ascii="仿宋_GB2312" w:hAnsi="仿宋_GB2312" w:eastAsia="仿宋_GB2312" w:cs="仿宋_GB2312"/>
          <w:b w:val="0"/>
          <w:bCs w:val="0"/>
          <w:sz w:val="32"/>
          <w:szCs w:val="32"/>
          <w:highlight w:val="none"/>
          <w:lang w:val="en-US" w:eastAsia="zh-CN"/>
        </w:rPr>
        <w:t>工程总投资114</w:t>
      </w:r>
      <w:r>
        <w:rPr>
          <w:rFonts w:hint="eastAsia" w:cs="仿宋_GB2312"/>
          <w:b w:val="0"/>
          <w:bCs w:val="0"/>
          <w:sz w:val="32"/>
          <w:szCs w:val="32"/>
          <w:highlight w:val="none"/>
          <w:lang w:val="en-US" w:eastAsia="zh-CN"/>
        </w:rPr>
        <w:t>69</w:t>
      </w:r>
      <w:r>
        <w:rPr>
          <w:rFonts w:hint="eastAsia" w:ascii="仿宋_GB2312" w:hAnsi="仿宋_GB2312" w:eastAsia="仿宋_GB2312" w:cs="仿宋_GB2312"/>
          <w:b w:val="0"/>
          <w:bCs w:val="0"/>
          <w:sz w:val="32"/>
          <w:szCs w:val="32"/>
          <w:highlight w:val="none"/>
          <w:lang w:val="en-US" w:eastAsia="zh-CN"/>
        </w:rPr>
        <w:t>.50万元。</w:t>
      </w:r>
      <w:r>
        <w:rPr>
          <w:rFonts w:hint="default" w:ascii="Times New Roman" w:hAnsi="Times New Roman" w:eastAsia="仿宋_GB2312" w:cs="Times New Roman"/>
          <w:color w:val="000000"/>
          <w:sz w:val="32"/>
          <w:szCs w:val="32"/>
          <w:highlight w:val="none"/>
        </w:rPr>
        <w:t xml:space="preserve">工程质量验收合格。 </w:t>
      </w:r>
    </w:p>
    <w:p w14:paraId="70873D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、公路养护方面：</w:t>
      </w:r>
      <w:r>
        <w:rPr>
          <w:rFonts w:hint="eastAsia" w:ascii="仿宋_GB2312" w:hAnsi="仿宋_GB2312" w:eastAsia="仿宋_GB2312" w:cs="仿宋_GB2312"/>
          <w:color w:val="000000"/>
          <w:sz w:val="32"/>
          <w:szCs w:val="32"/>
          <w:lang w:eastAsia="zh-CN"/>
        </w:rPr>
        <w:t>对破损路面进行了修复、路面坑槽进行了挖补、路面裂缝进行了处治，</w:t>
      </w:r>
      <w:r>
        <w:rPr>
          <w:rFonts w:hint="eastAsia" w:ascii="仿宋_GB2312" w:hAnsi="仿宋_GB2312" w:eastAsia="仿宋_GB2312" w:cs="仿宋_GB2312"/>
          <w:sz w:val="32"/>
          <w:szCs w:val="32"/>
          <w:lang w:eastAsia="zh-CN"/>
        </w:rPr>
        <w:t>共完成</w:t>
      </w:r>
      <w:r>
        <w:rPr>
          <w:rFonts w:hint="eastAsia" w:ascii="仿宋_GB2312" w:hAnsi="仿宋_GB2312" w:eastAsia="仿宋_GB2312" w:cs="仿宋_GB2312"/>
          <w:sz w:val="32"/>
          <w:szCs w:val="32"/>
        </w:rPr>
        <w:t>破损砼路面换板约5500平方米、路面坑槽挖补处治约2000平方米、路面裂缝处治约90000米、桥头跳车处治约1500平方米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大力开展了交通顽瘴痼疾整治，完成</w:t>
      </w:r>
      <w:r>
        <w:rPr>
          <w:rFonts w:hint="eastAsia" w:ascii="仿宋" w:hAnsi="仿宋" w:eastAsia="仿宋" w:cs="仿宋"/>
          <w:sz w:val="32"/>
          <w:szCs w:val="32"/>
          <w:lang w:val="en-US" w:eastAsia="zh-CN"/>
        </w:rPr>
        <w:t>市县交办交通顽瘴痼疾隐患整治9处；</w:t>
      </w:r>
      <w:r>
        <w:rPr>
          <w:rFonts w:hint="eastAsia" w:ascii="仿宋_GB2312" w:hAnsi="仿宋_GB2312" w:eastAsia="仿宋_GB2312" w:cs="仿宋_GB2312"/>
          <w:b w:val="0"/>
          <w:bCs w:val="0"/>
          <w:color w:val="000000"/>
          <w:sz w:val="32"/>
          <w:szCs w:val="32"/>
          <w:lang w:val="en-US" w:eastAsia="zh-CN"/>
        </w:rPr>
        <w:t>对排查出来的路基滑坡、护栏损毁、路面坑槽等50余处安全隐患进行了整治。</w:t>
      </w:r>
      <w:r>
        <w:rPr>
          <w:rFonts w:hint="eastAsia" w:ascii="仿宋_GB2312" w:hAnsi="仿宋_GB2312" w:eastAsia="仿宋_GB2312" w:cs="仿宋_GB2312"/>
          <w:color w:val="000000"/>
          <w:sz w:val="32"/>
          <w:szCs w:val="32"/>
          <w:lang w:val="en-US" w:eastAsia="zh-CN"/>
        </w:rPr>
        <w:t>结合推进以“品质桃源”为主题的文明创建提升工程，配合各乡镇对公路沿线的广告牌进行了拆除，对公路沿线的堆物放料等行为进行了整治，</w:t>
      </w:r>
      <w:r>
        <w:rPr>
          <w:rFonts w:hint="eastAsia" w:ascii="仿宋_GB2312" w:hAnsi="仿宋_GB2312" w:eastAsia="仿宋_GB2312" w:cs="仿宋_GB2312"/>
          <w:kern w:val="0"/>
          <w:sz w:val="32"/>
          <w:szCs w:val="32"/>
          <w:lang w:val="en-US" w:eastAsia="zh-CN" w:bidi="ar-SA"/>
        </w:rPr>
        <w:t>清除非标16余块、清理公路用地内堆积物27处，下达了《责令改正违法行为通知书》80份，以及路政赔补偿案件10件，</w:t>
      </w:r>
      <w:r>
        <w:rPr>
          <w:rFonts w:hint="eastAsia" w:ascii="仿宋_GB2312" w:hAnsi="仿宋_GB2312" w:eastAsia="仿宋_GB2312" w:cs="仿宋_GB2312"/>
          <w:color w:val="000000"/>
          <w:sz w:val="32"/>
          <w:szCs w:val="32"/>
          <w:lang w:val="en-US" w:eastAsia="zh-CN"/>
        </w:rPr>
        <w:t>有效提升了路域环境水平，提高了道路安全性与舒适性。</w:t>
      </w:r>
    </w:p>
    <w:p w14:paraId="40AAE1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、安全生产方面：</w:t>
      </w:r>
      <w:r>
        <w:rPr>
          <w:rFonts w:hint="eastAsia" w:ascii="仿宋_GB2312" w:hAnsi="仿宋_GB2312" w:eastAsia="仿宋_GB2312" w:cs="仿宋_GB2312"/>
          <w:color w:val="000000"/>
          <w:sz w:val="32"/>
          <w:szCs w:val="32"/>
          <w:lang w:eastAsia="zh-CN"/>
        </w:rPr>
        <w:t>在应对年初的低温雨雪灾害天气中，我中心</w:t>
      </w:r>
      <w:r>
        <w:rPr>
          <w:rFonts w:hint="eastAsia" w:ascii="仿宋_GB2312" w:hAnsi="仿宋_GB2312" w:eastAsia="仿宋_GB2312" w:cs="仿宋_GB2312"/>
          <w:color w:val="000000"/>
          <w:sz w:val="32"/>
          <w:szCs w:val="32"/>
        </w:rPr>
        <w:t>出动人力</w:t>
      </w:r>
      <w:r>
        <w:rPr>
          <w:rFonts w:hint="eastAsia" w:ascii="仿宋_GB2312" w:hAnsi="仿宋_GB2312" w:eastAsia="仿宋_GB2312" w:cs="仿宋_GB2312"/>
          <w:color w:val="000000"/>
          <w:sz w:val="32"/>
          <w:szCs w:val="32"/>
          <w:lang w:val="en-US" w:eastAsia="zh-CN"/>
        </w:rPr>
        <w:t>365</w:t>
      </w:r>
      <w:r>
        <w:rPr>
          <w:rFonts w:hint="eastAsia" w:ascii="仿宋_GB2312" w:hAnsi="仿宋_GB2312" w:eastAsia="仿宋_GB2312" w:cs="仿宋_GB2312"/>
          <w:color w:val="000000"/>
          <w:sz w:val="32"/>
          <w:szCs w:val="32"/>
        </w:rPr>
        <w:t>人次，</w:t>
      </w:r>
      <w:r>
        <w:rPr>
          <w:rFonts w:hint="eastAsia" w:ascii="仿宋_GB2312" w:hAnsi="仿宋_GB2312" w:eastAsia="仿宋_GB2312" w:cs="仿宋_GB2312"/>
          <w:color w:val="000000"/>
          <w:sz w:val="32"/>
          <w:szCs w:val="32"/>
          <w:lang w:eastAsia="zh-CN"/>
        </w:rPr>
        <w:t>铲车</w:t>
      </w:r>
      <w:r>
        <w:rPr>
          <w:rFonts w:hint="eastAsia" w:ascii="仿宋_GB2312" w:hAnsi="仿宋_GB2312" w:eastAsia="仿宋_GB2312" w:cs="仿宋_GB2312"/>
          <w:color w:val="000000"/>
          <w:sz w:val="32"/>
          <w:szCs w:val="32"/>
          <w:lang w:val="en-US" w:eastAsia="zh-CN"/>
        </w:rPr>
        <w:t>27台班、</w:t>
      </w:r>
      <w:r>
        <w:rPr>
          <w:rFonts w:hint="eastAsia" w:ascii="仿宋_GB2312" w:hAnsi="仿宋_GB2312" w:eastAsia="仿宋_GB2312" w:cs="仿宋_GB2312"/>
          <w:color w:val="000000"/>
          <w:sz w:val="32"/>
          <w:szCs w:val="32"/>
          <w:lang w:eastAsia="zh-CN"/>
        </w:rPr>
        <w:t>车辆</w:t>
      </w:r>
      <w:r>
        <w:rPr>
          <w:rFonts w:hint="eastAsia" w:ascii="仿宋_GB2312" w:hAnsi="仿宋_GB2312" w:eastAsia="仿宋_GB2312" w:cs="仿宋_GB2312"/>
          <w:color w:val="000000"/>
          <w:sz w:val="32"/>
          <w:szCs w:val="32"/>
          <w:lang w:val="en-US" w:eastAsia="zh-CN"/>
        </w:rPr>
        <w:t>156</w:t>
      </w:r>
      <w:r>
        <w:rPr>
          <w:rFonts w:hint="eastAsia" w:ascii="仿宋_GB2312" w:hAnsi="仿宋_GB2312" w:eastAsia="仿宋_GB2312" w:cs="仿宋_GB2312"/>
          <w:color w:val="000000"/>
          <w:sz w:val="32"/>
          <w:szCs w:val="32"/>
        </w:rPr>
        <w:t>台</w:t>
      </w:r>
      <w:r>
        <w:rPr>
          <w:rFonts w:hint="eastAsia" w:ascii="仿宋_GB2312" w:hAnsi="仿宋_GB2312" w:eastAsia="仿宋_GB2312" w:cs="仿宋_GB2312"/>
          <w:color w:val="000000"/>
          <w:sz w:val="32"/>
          <w:szCs w:val="32"/>
          <w:lang w:eastAsia="zh-CN"/>
        </w:rPr>
        <w:t>次</w:t>
      </w:r>
      <w:r>
        <w:rPr>
          <w:rFonts w:hint="eastAsia" w:ascii="仿宋_GB2312" w:hAnsi="仿宋_GB2312" w:eastAsia="仿宋_GB2312" w:cs="仿宋_GB2312"/>
          <w:color w:val="000000"/>
          <w:sz w:val="32"/>
          <w:szCs w:val="32"/>
        </w:rPr>
        <w:t>，洒防滑砂</w:t>
      </w:r>
      <w:r>
        <w:rPr>
          <w:rFonts w:hint="eastAsia" w:ascii="仿宋_GB2312" w:hAnsi="仿宋_GB2312" w:eastAsia="仿宋_GB2312" w:cs="仿宋_GB2312"/>
          <w:color w:val="000000"/>
          <w:sz w:val="32"/>
          <w:szCs w:val="32"/>
          <w:lang w:val="en-US" w:eastAsia="zh-CN"/>
        </w:rPr>
        <w:t>920</w:t>
      </w:r>
      <w:r>
        <w:rPr>
          <w:rFonts w:hint="eastAsia" w:ascii="仿宋_GB2312" w:hAnsi="仿宋_GB2312" w:eastAsia="仿宋_GB2312" w:cs="仿宋_GB2312"/>
          <w:color w:val="000000"/>
          <w:sz w:val="32"/>
          <w:szCs w:val="32"/>
        </w:rPr>
        <w:t>余立方，洒融雪剂</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吨，设置警示标志标牌</w:t>
      </w:r>
      <w:r>
        <w:rPr>
          <w:rFonts w:hint="eastAsia" w:ascii="仿宋_GB2312" w:hAnsi="仿宋_GB2312" w:eastAsia="仿宋_GB2312" w:cs="仿宋_GB2312"/>
          <w:color w:val="000000"/>
          <w:sz w:val="32"/>
          <w:szCs w:val="32"/>
          <w:lang w:val="en-US" w:eastAsia="zh-CN"/>
        </w:rPr>
        <w:t>130</w:t>
      </w:r>
      <w:r>
        <w:rPr>
          <w:rFonts w:hint="eastAsia" w:ascii="仿宋_GB2312" w:hAnsi="仿宋_GB2312" w:eastAsia="仿宋_GB2312" w:cs="仿宋_GB2312"/>
          <w:color w:val="000000"/>
          <w:sz w:val="32"/>
          <w:szCs w:val="32"/>
        </w:rPr>
        <w:t>余块</w:t>
      </w:r>
      <w:r>
        <w:rPr>
          <w:rFonts w:hint="eastAsia" w:ascii="仿宋_GB2312" w:hAnsi="仿宋_GB2312" w:eastAsia="仿宋_GB2312" w:cs="仿宋_GB2312"/>
          <w:color w:val="000000"/>
          <w:sz w:val="32"/>
          <w:szCs w:val="32"/>
          <w:lang w:eastAsia="zh-CN"/>
        </w:rPr>
        <w:t>。在汛期期间，出动人员60余人，动用铲车3台，挖机2台，动用车辆5台，设置标识标牌20余块，清理塌方、落石、倒树</w:t>
      </w:r>
      <w:r>
        <w:rPr>
          <w:rFonts w:hint="eastAsia" w:ascii="仿宋_GB2312" w:hAnsi="仿宋_GB2312" w:eastAsia="仿宋_GB2312" w:cs="仿宋_GB2312"/>
          <w:color w:val="000000"/>
          <w:sz w:val="32"/>
          <w:szCs w:val="32"/>
          <w:lang w:val="en-US" w:eastAsia="zh-CN"/>
        </w:rPr>
        <w:t>100余处。特别是6月24日，G319线K1633+300处茶庵铺路段发生路面大面积塌方，导致交通中断。灾情发生后，</w:t>
      </w:r>
      <w:r>
        <w:rPr>
          <w:rFonts w:hint="eastAsia" w:ascii="仿宋_GB2312" w:hAnsi="仿宋_GB2312" w:eastAsia="仿宋_GB2312" w:cs="仿宋_GB2312"/>
          <w:i w:val="0"/>
          <w:caps w:val="0"/>
          <w:color w:val="000000"/>
          <w:spacing w:val="5"/>
          <w:sz w:val="32"/>
          <w:szCs w:val="32"/>
          <w:shd w:val="clear" w:color="auto" w:fill="FFFFFF"/>
          <w:lang w:eastAsia="zh-CN"/>
        </w:rPr>
        <w:t>我中心</w:t>
      </w:r>
      <w:r>
        <w:rPr>
          <w:rFonts w:hint="eastAsia" w:ascii="仿宋_GB2312" w:hAnsi="仿宋_GB2312" w:eastAsia="仿宋_GB2312" w:cs="仿宋_GB2312"/>
          <w:i w:val="0"/>
          <w:caps w:val="0"/>
          <w:color w:val="000000"/>
          <w:spacing w:val="5"/>
          <w:sz w:val="32"/>
          <w:szCs w:val="32"/>
          <w:shd w:val="clear" w:color="auto" w:fill="FFFFFF"/>
        </w:rPr>
        <w:t>相关负责人连夜赶赴现场进行调度处置</w:t>
      </w:r>
      <w:r>
        <w:rPr>
          <w:rFonts w:hint="eastAsia" w:ascii="仿宋_GB2312" w:hAnsi="仿宋_GB2312" w:eastAsia="仿宋_GB2312" w:cs="仿宋_GB2312"/>
          <w:i w:val="0"/>
          <w:caps w:val="0"/>
          <w:color w:val="000000"/>
          <w:spacing w:val="5"/>
          <w:sz w:val="32"/>
          <w:szCs w:val="32"/>
          <w:shd w:val="clear" w:color="auto" w:fill="FFFFFF"/>
          <w:lang w:eastAsia="zh-CN"/>
        </w:rPr>
        <w:t>，</w:t>
      </w:r>
      <w:r>
        <w:rPr>
          <w:rFonts w:hint="eastAsia" w:ascii="仿宋_GB2312" w:hAnsi="仿宋_GB2312" w:eastAsia="仿宋_GB2312" w:cs="仿宋_GB2312"/>
          <w:i w:val="0"/>
          <w:caps w:val="0"/>
          <w:color w:val="000000"/>
          <w:spacing w:val="5"/>
          <w:sz w:val="32"/>
          <w:szCs w:val="32"/>
          <w:shd w:val="clear" w:color="auto" w:fill="FFFFFF"/>
        </w:rPr>
        <w:t>第一时间在塌方路段设置警示标识、爆闪灯、绕行提示，安排专人进行值守，对车辆进行绕行劝导，由于对塌方发现及时、处置及时，避免了重大交通事故发生的可能。为及时恢复国道线交通，</w:t>
      </w:r>
      <w:r>
        <w:rPr>
          <w:rFonts w:hint="eastAsia" w:ascii="仿宋_GB2312" w:hAnsi="仿宋_GB2312" w:eastAsia="仿宋_GB2312" w:cs="仿宋_GB2312"/>
          <w:i w:val="0"/>
          <w:caps w:val="0"/>
          <w:color w:val="000000"/>
          <w:spacing w:val="5"/>
          <w:sz w:val="32"/>
          <w:szCs w:val="32"/>
          <w:shd w:val="clear" w:color="auto" w:fill="FFFFFF"/>
          <w:lang w:eastAsia="zh-CN"/>
        </w:rPr>
        <w:t>我</w:t>
      </w:r>
      <w:r>
        <w:rPr>
          <w:rFonts w:hint="eastAsia" w:ascii="仿宋_GB2312" w:hAnsi="仿宋_GB2312" w:eastAsia="仿宋_GB2312" w:cs="仿宋_GB2312"/>
          <w:i w:val="0"/>
          <w:caps w:val="0"/>
          <w:color w:val="000000"/>
          <w:spacing w:val="5"/>
          <w:sz w:val="32"/>
          <w:szCs w:val="32"/>
          <w:shd w:val="clear" w:color="auto" w:fill="FFFFFF"/>
        </w:rPr>
        <w:t>中心立即启动应急修复工作，</w:t>
      </w:r>
      <w:r>
        <w:rPr>
          <w:rFonts w:hint="eastAsia" w:ascii="仿宋_GB2312" w:hAnsi="仿宋_GB2312" w:eastAsia="仿宋_GB2312" w:cs="仿宋_GB2312"/>
          <w:i w:val="0"/>
          <w:caps w:val="0"/>
          <w:color w:val="000000"/>
          <w:spacing w:val="5"/>
          <w:sz w:val="32"/>
          <w:szCs w:val="32"/>
          <w:shd w:val="clear" w:color="auto" w:fill="FFFFFF"/>
          <w:lang w:eastAsia="zh-CN"/>
        </w:rPr>
        <w:t>加班加点进行抢修，于</w:t>
      </w:r>
      <w:r>
        <w:rPr>
          <w:rFonts w:hint="eastAsia" w:ascii="仿宋_GB2312" w:hAnsi="仿宋_GB2312" w:eastAsia="仿宋_GB2312" w:cs="仿宋_GB2312"/>
          <w:color w:val="000000"/>
          <w:kern w:val="0"/>
          <w:sz w:val="32"/>
          <w:szCs w:val="32"/>
          <w:lang w:val="en-US" w:eastAsia="zh-CN" w:bidi="ar"/>
        </w:rPr>
        <w:t>7 月 19 日塌方抢修全面完工正式恢复通车。</w:t>
      </w:r>
      <w:r>
        <w:rPr>
          <w:rFonts w:hint="eastAsia" w:ascii="仿宋_GB2312" w:hAnsi="仿宋_GB2312" w:eastAsia="仿宋_GB2312" w:cs="仿宋_GB2312"/>
          <w:color w:val="000000"/>
          <w:sz w:val="32"/>
          <w:szCs w:val="32"/>
        </w:rPr>
        <w:t>一系列的</w:t>
      </w:r>
      <w:r>
        <w:rPr>
          <w:rFonts w:hint="eastAsia" w:ascii="仿宋_GB2312" w:hAnsi="仿宋_GB2312" w:eastAsia="仿宋_GB2312" w:cs="仿宋_GB2312"/>
          <w:color w:val="000000"/>
          <w:sz w:val="32"/>
          <w:szCs w:val="32"/>
          <w:lang w:eastAsia="zh-CN"/>
        </w:rPr>
        <w:t>应急</w:t>
      </w:r>
      <w:r>
        <w:rPr>
          <w:rFonts w:hint="eastAsia" w:ascii="仿宋_GB2312" w:hAnsi="仿宋_GB2312" w:eastAsia="仿宋_GB2312" w:cs="仿宋_GB2312"/>
          <w:color w:val="000000"/>
          <w:sz w:val="32"/>
          <w:szCs w:val="32"/>
        </w:rPr>
        <w:t>工作举措，保证了所管养公路的安全畅通，确保了人民群众的</w:t>
      </w:r>
      <w:r>
        <w:rPr>
          <w:rFonts w:hint="eastAsia" w:ascii="仿宋_GB2312" w:hAnsi="仿宋_GB2312" w:eastAsia="仿宋_GB2312" w:cs="仿宋_GB2312"/>
          <w:color w:val="000000"/>
          <w:sz w:val="32"/>
          <w:szCs w:val="32"/>
          <w:lang w:eastAsia="zh-CN"/>
        </w:rPr>
        <w:t>生命财产安全</w:t>
      </w:r>
      <w:r>
        <w:rPr>
          <w:rFonts w:hint="eastAsia" w:ascii="仿宋_GB2312" w:hAnsi="仿宋_GB2312" w:eastAsia="仿宋_GB2312" w:cs="仿宋_GB2312"/>
          <w:color w:val="000000"/>
          <w:sz w:val="32"/>
          <w:szCs w:val="32"/>
        </w:rPr>
        <w:t>。</w:t>
      </w:r>
    </w:p>
    <w:p w14:paraId="3176DA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rPr>
      </w:pPr>
    </w:p>
    <w:p w14:paraId="5B22B52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0EA366B1">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1.部门预算编制不够完整、细化。主要原因是由于</w:t>
      </w:r>
      <w:r>
        <w:rPr>
          <w:rFonts w:hint="default" w:ascii="Times New Roman" w:hAnsi="Times New Roman" w:eastAsia="仿宋" w:cs="Times New Roman"/>
          <w:sz w:val="32"/>
          <w:szCs w:val="32"/>
        </w:rPr>
        <w:t>单位预算绩效意识不强。</w:t>
      </w:r>
    </w:p>
    <w:p w14:paraId="2E58920B">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2.养护资金缺口较大。主要原因是由于财政资金紧张。</w:t>
      </w:r>
    </w:p>
    <w:p w14:paraId="55C617D0">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color w:val="000000"/>
          <w:sz w:val="32"/>
          <w:szCs w:val="32"/>
          <w:lang w:val="en-US" w:eastAsia="zh-CN"/>
        </w:rPr>
      </w:pPr>
      <w:bookmarkStart w:id="2" w:name="_GoBack"/>
      <w:bookmarkEnd w:id="2"/>
      <w:r>
        <w:rPr>
          <w:rFonts w:hint="eastAsia" w:ascii="Times New Roman" w:hAnsi="Times New Roman" w:eastAsia="仿宋" w:cs="Times New Roman"/>
          <w:color w:val="000000"/>
          <w:sz w:val="32"/>
          <w:szCs w:val="32"/>
          <w:lang w:val="en-US" w:eastAsia="zh-CN"/>
        </w:rPr>
        <w:t>3.过分依赖某一种评价方法，未综合运用多种方法进行绩效评价</w:t>
      </w:r>
    </w:p>
    <w:p w14:paraId="0A8C0BAA">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 下一步改进措施</w:t>
      </w:r>
    </w:p>
    <w:p w14:paraId="3416EE0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强化单位预算绩效意识，编制下年度预算时结合本年度工作完成情况以及部门重点工作任务，科学合理填报单位绩效目标，绩效指标应做到细化、量化、切合实际且可衡量和考核，加强预算资金和专项目标的结合，以资金和问题为导向，提高工作的积极主动性及单位履职效益。</w:t>
      </w:r>
    </w:p>
    <w:p w14:paraId="60C29466">
      <w:pPr>
        <w:keepNext w:val="0"/>
        <w:keepLines w:val="0"/>
        <w:pageBreakBefore w:val="0"/>
        <w:kinsoku/>
        <w:wordWrap/>
        <w:overflowPunct/>
        <w:topLinePunct w:val="0"/>
        <w:autoSpaceDE/>
        <w:autoSpaceDN/>
        <w:bidi w:val="0"/>
        <w:adjustRightInd/>
        <w:snapToGrid/>
        <w:spacing w:line="560" w:lineRule="exact"/>
        <w:ind w:firstLine="6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（二）积极向县政府汇报，争取财政加大对人员经费的投入，尽可能的将燃油转移支付资金用于公路养护。</w:t>
      </w:r>
    </w:p>
    <w:p w14:paraId="3BFE6183">
      <w:pPr>
        <w:pStyle w:val="2"/>
        <w:rPr>
          <w:rFonts w:hint="default" w:eastAsia="仿宋_GB2312"/>
          <w:lang w:val="en-US" w:eastAsia="zh-CN"/>
        </w:rPr>
      </w:pP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w:t>
      </w:r>
      <w:r>
        <w:rPr>
          <w:rFonts w:hint="eastAsia" w:ascii="Times New Roman" w:hAnsi="Times New Roman" w:cs="Times New Roman"/>
          <w:kern w:val="2"/>
          <w:sz w:val="32"/>
          <w:szCs w:val="32"/>
          <w:lang w:val="en-US" w:eastAsia="zh-CN" w:bidi="ar-SA"/>
        </w:rPr>
        <w:t>综合运用多种评价方法，提高绩效评价的全面性和准确性。</w:t>
      </w:r>
    </w:p>
    <w:p w14:paraId="5E1C89E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 部门整体支出绩效自评结果拟应用和公开情况</w:t>
      </w:r>
    </w:p>
    <w:p w14:paraId="00CF5F3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年桃源县公路建设养护中心整体支出绩效自评</w:t>
      </w:r>
      <w:r>
        <w:rPr>
          <w:rFonts w:hint="eastAsia"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sz w:val="32"/>
          <w:szCs w:val="32"/>
        </w:rPr>
        <w:t>分，自评结果将在桃源县政府网对外公开，接受社会监督。对绩效自评工作中发现的问题及时整改，优化部门管理，进一步提升单位工作效能和履责效益。</w:t>
      </w:r>
    </w:p>
    <w:p w14:paraId="7E5BBE7E">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57A7829A">
      <w:pPr>
        <w:pStyle w:val="2"/>
        <w:keepNext w:val="0"/>
        <w:keepLines w:val="0"/>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rPr>
      </w:pPr>
      <w:r>
        <w:rPr>
          <w:rFonts w:hint="default" w:ascii="Times New Roman" w:hAnsi="Times New Roman" w:cs="Times New Roman"/>
          <w:sz w:val="32"/>
          <w:szCs w:val="32"/>
        </w:rPr>
        <w:t xml:space="preserve">   无</w:t>
      </w:r>
    </w:p>
    <w:p w14:paraId="0974A87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 部门整体支出绩效评价基础数据表</w:t>
      </w:r>
    </w:p>
    <w:p w14:paraId="7580D12F">
      <w:pPr>
        <w:keepNext w:val="0"/>
        <w:keepLines w:val="0"/>
        <w:pageBreakBefore w:val="0"/>
        <w:kinsoku/>
        <w:wordWrap/>
        <w:overflowPunct/>
        <w:topLinePunct w:val="0"/>
        <w:autoSpaceDE/>
        <w:autoSpaceDN/>
        <w:bidi w:val="0"/>
        <w:adjustRightInd/>
        <w:snapToGrid/>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部门整体支出绩效自评表</w:t>
      </w:r>
    </w:p>
    <w:p w14:paraId="1E960053">
      <w:pPr>
        <w:keepNext w:val="0"/>
        <w:keepLines w:val="0"/>
        <w:pageBreakBefore w:val="0"/>
        <w:kinsoku/>
        <w:wordWrap/>
        <w:overflowPunct/>
        <w:topLinePunct w:val="0"/>
        <w:autoSpaceDE/>
        <w:autoSpaceDN/>
        <w:bidi w:val="0"/>
        <w:adjustRightInd/>
        <w:snapToGrid/>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项目支出绩效自评表(一个项目支出一张表)</w:t>
      </w:r>
    </w:p>
    <w:p w14:paraId="5FD1647E">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2C6819C3">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54E96E48">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59B6186B">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542987DE">
      <w:pPr>
        <w:pStyle w:val="2"/>
        <w:keepNext w:val="0"/>
        <w:keepLines w:val="0"/>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rPr>
      </w:pPr>
    </w:p>
    <w:sectPr>
      <w:headerReference r:id="rId3" w:type="default"/>
      <w:footerReference r:id="rId4" w:type="default"/>
      <w:footerReference r:id="rId5"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F395">
    <w:pPr>
      <w:pStyle w:val="11"/>
      <w:jc w:val="right"/>
    </w:pPr>
    <w:r>
      <w:fldChar w:fldCharType="begin"/>
    </w:r>
    <w:r>
      <w:instrText xml:space="preserve"> PAGE   \* MERGEFORMAT </w:instrText>
    </w:r>
    <w:r>
      <w:fldChar w:fldCharType="separate"/>
    </w:r>
    <w:r>
      <w:rPr>
        <w:lang w:val="zh-CN"/>
      </w:rPr>
      <w:t>5</w:t>
    </w:r>
    <w:r>
      <w:rPr>
        <w:lang w:val="zh-CN"/>
      </w:rPr>
      <w:fldChar w:fldCharType="end"/>
    </w:r>
  </w:p>
  <w:p w14:paraId="06E6203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E6972">
    <w:pPr>
      <w:pStyle w:val="11"/>
    </w:pPr>
    <w:r>
      <w:fldChar w:fldCharType="begin"/>
    </w:r>
    <w:r>
      <w:instrText xml:space="preserve"> PAGE   \* MERGEFORMAT </w:instrText>
    </w:r>
    <w:r>
      <w:fldChar w:fldCharType="separate"/>
    </w:r>
    <w:r>
      <w:rPr>
        <w:lang w:val="zh-CN"/>
      </w:rPr>
      <w:t>6</w:t>
    </w:r>
    <w:r>
      <w:rPr>
        <w:lang w:val="zh-CN"/>
      </w:rPr>
      <w:fldChar w:fldCharType="end"/>
    </w:r>
  </w:p>
  <w:p w14:paraId="31C8533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598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1FF4F"/>
    <w:multiLevelType w:val="singleLevel"/>
    <w:tmpl w:val="6371FF4F"/>
    <w:lvl w:ilvl="0" w:tentative="0">
      <w:start w:val="2"/>
      <w:numFmt w:val="decimal"/>
      <w:suff w:val="nothing"/>
      <w:lvlText w:val="%1."/>
      <w:lvlJc w:val="left"/>
    </w:lvl>
  </w:abstractNum>
  <w:abstractNum w:abstractNumId="1">
    <w:nsid w:val="6372F497"/>
    <w:multiLevelType w:val="singleLevel"/>
    <w:tmpl w:val="6372F497"/>
    <w:lvl w:ilvl="0" w:tentative="0">
      <w:start w:val="2"/>
      <w:numFmt w:val="chineseCounting"/>
      <w:suff w:val="nothing"/>
      <w:lvlText w:val="（%1）"/>
      <w:lvlJc w:val="left"/>
    </w:lvl>
  </w:abstractNum>
  <w:abstractNum w:abstractNumId="2">
    <w:nsid w:val="6372F6D7"/>
    <w:multiLevelType w:val="singleLevel"/>
    <w:tmpl w:val="6372F6D7"/>
    <w:lvl w:ilvl="0" w:tentative="0">
      <w:start w:val="10"/>
      <w:numFmt w:val="chineseCounting"/>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NotTrackMoves/>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ODAwNjIzMThkODZhMjg0YTk3ZDMyYjgyYzQ3YmEifQ=="/>
    <w:docVar w:name="KSO_WPS_MARK_KEY" w:val="34ddf1d9-7c10-4373-88e9-e079caaae9bb"/>
  </w:docVars>
  <w:rsids>
    <w:rsidRoot w:val="007974AB"/>
    <w:rsid w:val="0000298E"/>
    <w:rsid w:val="00002AE4"/>
    <w:rsid w:val="00006436"/>
    <w:rsid w:val="00031747"/>
    <w:rsid w:val="0003456A"/>
    <w:rsid w:val="00036C97"/>
    <w:rsid w:val="00037035"/>
    <w:rsid w:val="000469BA"/>
    <w:rsid w:val="000516DC"/>
    <w:rsid w:val="00053F71"/>
    <w:rsid w:val="000552F3"/>
    <w:rsid w:val="00056B04"/>
    <w:rsid w:val="00070B5F"/>
    <w:rsid w:val="00072AEB"/>
    <w:rsid w:val="000747B8"/>
    <w:rsid w:val="00075715"/>
    <w:rsid w:val="00083406"/>
    <w:rsid w:val="00085A99"/>
    <w:rsid w:val="00087EA5"/>
    <w:rsid w:val="00090FAD"/>
    <w:rsid w:val="00091B80"/>
    <w:rsid w:val="00092609"/>
    <w:rsid w:val="00097D4C"/>
    <w:rsid w:val="000A6E3A"/>
    <w:rsid w:val="000B02B7"/>
    <w:rsid w:val="000B1FC2"/>
    <w:rsid w:val="000B2F7A"/>
    <w:rsid w:val="000B42EC"/>
    <w:rsid w:val="000B4523"/>
    <w:rsid w:val="000C0C79"/>
    <w:rsid w:val="000D4B69"/>
    <w:rsid w:val="000D4C41"/>
    <w:rsid w:val="000D6179"/>
    <w:rsid w:val="000D72BB"/>
    <w:rsid w:val="000E240C"/>
    <w:rsid w:val="000E35F0"/>
    <w:rsid w:val="000F21D6"/>
    <w:rsid w:val="000F2952"/>
    <w:rsid w:val="000F61BE"/>
    <w:rsid w:val="000F73AE"/>
    <w:rsid w:val="000F7647"/>
    <w:rsid w:val="00104369"/>
    <w:rsid w:val="001050A7"/>
    <w:rsid w:val="001062E8"/>
    <w:rsid w:val="00112EB7"/>
    <w:rsid w:val="00113F79"/>
    <w:rsid w:val="00114AFB"/>
    <w:rsid w:val="001167EB"/>
    <w:rsid w:val="00121B82"/>
    <w:rsid w:val="00122D73"/>
    <w:rsid w:val="00127490"/>
    <w:rsid w:val="0013478D"/>
    <w:rsid w:val="001415B7"/>
    <w:rsid w:val="001417EF"/>
    <w:rsid w:val="00145A6A"/>
    <w:rsid w:val="0014663A"/>
    <w:rsid w:val="0014796C"/>
    <w:rsid w:val="001536DE"/>
    <w:rsid w:val="00160267"/>
    <w:rsid w:val="00162E7B"/>
    <w:rsid w:val="0016425E"/>
    <w:rsid w:val="00167BE7"/>
    <w:rsid w:val="00171650"/>
    <w:rsid w:val="00171D32"/>
    <w:rsid w:val="00177775"/>
    <w:rsid w:val="00180DA0"/>
    <w:rsid w:val="00181657"/>
    <w:rsid w:val="00182289"/>
    <w:rsid w:val="00182336"/>
    <w:rsid w:val="00186C65"/>
    <w:rsid w:val="00190E24"/>
    <w:rsid w:val="00191586"/>
    <w:rsid w:val="00191FD7"/>
    <w:rsid w:val="0019209D"/>
    <w:rsid w:val="00197BA7"/>
    <w:rsid w:val="001A089C"/>
    <w:rsid w:val="001A54C0"/>
    <w:rsid w:val="001A5697"/>
    <w:rsid w:val="001A64A0"/>
    <w:rsid w:val="001B465B"/>
    <w:rsid w:val="001C15DF"/>
    <w:rsid w:val="001C7486"/>
    <w:rsid w:val="001D21E5"/>
    <w:rsid w:val="001D2359"/>
    <w:rsid w:val="001D65E5"/>
    <w:rsid w:val="001D6602"/>
    <w:rsid w:val="001E4B91"/>
    <w:rsid w:val="001E4F39"/>
    <w:rsid w:val="001E5B80"/>
    <w:rsid w:val="001E6BFE"/>
    <w:rsid w:val="001F11B2"/>
    <w:rsid w:val="001F3DDB"/>
    <w:rsid w:val="001F5635"/>
    <w:rsid w:val="001F6D73"/>
    <w:rsid w:val="00205440"/>
    <w:rsid w:val="002102DB"/>
    <w:rsid w:val="002129C1"/>
    <w:rsid w:val="00214D7C"/>
    <w:rsid w:val="00221B76"/>
    <w:rsid w:val="00222E30"/>
    <w:rsid w:val="00225256"/>
    <w:rsid w:val="002305A2"/>
    <w:rsid w:val="00231C6E"/>
    <w:rsid w:val="00232F9D"/>
    <w:rsid w:val="0023666C"/>
    <w:rsid w:val="002367FF"/>
    <w:rsid w:val="002511DA"/>
    <w:rsid w:val="00254482"/>
    <w:rsid w:val="00261A82"/>
    <w:rsid w:val="0026214D"/>
    <w:rsid w:val="0026227A"/>
    <w:rsid w:val="00266A72"/>
    <w:rsid w:val="00273F87"/>
    <w:rsid w:val="0027692A"/>
    <w:rsid w:val="00282515"/>
    <w:rsid w:val="00286A75"/>
    <w:rsid w:val="00291511"/>
    <w:rsid w:val="00292E06"/>
    <w:rsid w:val="002A1611"/>
    <w:rsid w:val="002A336C"/>
    <w:rsid w:val="002A3ED2"/>
    <w:rsid w:val="002A4788"/>
    <w:rsid w:val="002B11B0"/>
    <w:rsid w:val="002B1E16"/>
    <w:rsid w:val="002B2BEF"/>
    <w:rsid w:val="002B4F66"/>
    <w:rsid w:val="002B778F"/>
    <w:rsid w:val="002C064D"/>
    <w:rsid w:val="002C33CB"/>
    <w:rsid w:val="002C7842"/>
    <w:rsid w:val="002D48CE"/>
    <w:rsid w:val="002D6D4A"/>
    <w:rsid w:val="002E1DF4"/>
    <w:rsid w:val="002E2A37"/>
    <w:rsid w:val="002E2F0B"/>
    <w:rsid w:val="002F1BB2"/>
    <w:rsid w:val="002F249E"/>
    <w:rsid w:val="002F72FE"/>
    <w:rsid w:val="002F7643"/>
    <w:rsid w:val="00302FFA"/>
    <w:rsid w:val="00303890"/>
    <w:rsid w:val="003053A5"/>
    <w:rsid w:val="0031038E"/>
    <w:rsid w:val="003134F7"/>
    <w:rsid w:val="00313CA6"/>
    <w:rsid w:val="00317AB2"/>
    <w:rsid w:val="00324952"/>
    <w:rsid w:val="00331E48"/>
    <w:rsid w:val="00332598"/>
    <w:rsid w:val="003331B3"/>
    <w:rsid w:val="00341012"/>
    <w:rsid w:val="00342BE8"/>
    <w:rsid w:val="00343C5E"/>
    <w:rsid w:val="00344BD5"/>
    <w:rsid w:val="00344CA7"/>
    <w:rsid w:val="00345B18"/>
    <w:rsid w:val="00346169"/>
    <w:rsid w:val="003478B2"/>
    <w:rsid w:val="00351E0E"/>
    <w:rsid w:val="00361AD2"/>
    <w:rsid w:val="00362473"/>
    <w:rsid w:val="00362E31"/>
    <w:rsid w:val="00372621"/>
    <w:rsid w:val="00374987"/>
    <w:rsid w:val="00381AC4"/>
    <w:rsid w:val="0038212B"/>
    <w:rsid w:val="00383377"/>
    <w:rsid w:val="00383992"/>
    <w:rsid w:val="003905F8"/>
    <w:rsid w:val="00392B58"/>
    <w:rsid w:val="00394A22"/>
    <w:rsid w:val="00394ABB"/>
    <w:rsid w:val="00395CEE"/>
    <w:rsid w:val="0039769B"/>
    <w:rsid w:val="003A4ACA"/>
    <w:rsid w:val="003A7FDD"/>
    <w:rsid w:val="003B23EB"/>
    <w:rsid w:val="003B2F4F"/>
    <w:rsid w:val="003B6841"/>
    <w:rsid w:val="003B7FA2"/>
    <w:rsid w:val="003D1EE9"/>
    <w:rsid w:val="003D3780"/>
    <w:rsid w:val="003D4854"/>
    <w:rsid w:val="003E3CB2"/>
    <w:rsid w:val="003E52E4"/>
    <w:rsid w:val="00404BE5"/>
    <w:rsid w:val="00410AE1"/>
    <w:rsid w:val="00410FF6"/>
    <w:rsid w:val="00411330"/>
    <w:rsid w:val="00412456"/>
    <w:rsid w:val="004144EE"/>
    <w:rsid w:val="00417954"/>
    <w:rsid w:val="00417BC1"/>
    <w:rsid w:val="0042330A"/>
    <w:rsid w:val="00427D9D"/>
    <w:rsid w:val="00431F52"/>
    <w:rsid w:val="00432111"/>
    <w:rsid w:val="00434B10"/>
    <w:rsid w:val="00446CFB"/>
    <w:rsid w:val="004506ED"/>
    <w:rsid w:val="004527DA"/>
    <w:rsid w:val="004561C6"/>
    <w:rsid w:val="0045759A"/>
    <w:rsid w:val="00461DAC"/>
    <w:rsid w:val="004621CC"/>
    <w:rsid w:val="004731BC"/>
    <w:rsid w:val="00473D54"/>
    <w:rsid w:val="00476505"/>
    <w:rsid w:val="00477B78"/>
    <w:rsid w:val="00481926"/>
    <w:rsid w:val="00482DA2"/>
    <w:rsid w:val="00483F92"/>
    <w:rsid w:val="00491579"/>
    <w:rsid w:val="004948B2"/>
    <w:rsid w:val="004952A1"/>
    <w:rsid w:val="00495B00"/>
    <w:rsid w:val="00496F6D"/>
    <w:rsid w:val="004A0757"/>
    <w:rsid w:val="004A33AD"/>
    <w:rsid w:val="004A5970"/>
    <w:rsid w:val="004B09F8"/>
    <w:rsid w:val="004C2AEE"/>
    <w:rsid w:val="004D54EA"/>
    <w:rsid w:val="004D5F90"/>
    <w:rsid w:val="004E1AF5"/>
    <w:rsid w:val="004E2593"/>
    <w:rsid w:val="004E394D"/>
    <w:rsid w:val="004E653C"/>
    <w:rsid w:val="004E6E44"/>
    <w:rsid w:val="004F4E0C"/>
    <w:rsid w:val="004F4EDA"/>
    <w:rsid w:val="004F53C1"/>
    <w:rsid w:val="00500DB4"/>
    <w:rsid w:val="005024B0"/>
    <w:rsid w:val="00505F55"/>
    <w:rsid w:val="00507B37"/>
    <w:rsid w:val="00507BC7"/>
    <w:rsid w:val="00510B86"/>
    <w:rsid w:val="00516274"/>
    <w:rsid w:val="00524A00"/>
    <w:rsid w:val="00527D99"/>
    <w:rsid w:val="00536A21"/>
    <w:rsid w:val="005377C3"/>
    <w:rsid w:val="00542882"/>
    <w:rsid w:val="005438D0"/>
    <w:rsid w:val="005445F7"/>
    <w:rsid w:val="0054486C"/>
    <w:rsid w:val="005473E0"/>
    <w:rsid w:val="0055022D"/>
    <w:rsid w:val="00550BC6"/>
    <w:rsid w:val="00550C9A"/>
    <w:rsid w:val="00553BA4"/>
    <w:rsid w:val="00557990"/>
    <w:rsid w:val="00563B4E"/>
    <w:rsid w:val="00565748"/>
    <w:rsid w:val="0057789D"/>
    <w:rsid w:val="005808E6"/>
    <w:rsid w:val="00585BED"/>
    <w:rsid w:val="00587C92"/>
    <w:rsid w:val="005916AB"/>
    <w:rsid w:val="00592496"/>
    <w:rsid w:val="00593595"/>
    <w:rsid w:val="005A3424"/>
    <w:rsid w:val="005A4D21"/>
    <w:rsid w:val="005A662C"/>
    <w:rsid w:val="005A6E3C"/>
    <w:rsid w:val="005A7150"/>
    <w:rsid w:val="005B6F6D"/>
    <w:rsid w:val="005B70C2"/>
    <w:rsid w:val="005C488D"/>
    <w:rsid w:val="005C60E3"/>
    <w:rsid w:val="005C6D48"/>
    <w:rsid w:val="005C778B"/>
    <w:rsid w:val="005D073E"/>
    <w:rsid w:val="005D5007"/>
    <w:rsid w:val="005D50CB"/>
    <w:rsid w:val="005E0ACC"/>
    <w:rsid w:val="005E0C80"/>
    <w:rsid w:val="005E2AA1"/>
    <w:rsid w:val="005E63A3"/>
    <w:rsid w:val="005E7438"/>
    <w:rsid w:val="005F1452"/>
    <w:rsid w:val="005F1576"/>
    <w:rsid w:val="005F247D"/>
    <w:rsid w:val="005F2E6C"/>
    <w:rsid w:val="005F7156"/>
    <w:rsid w:val="005F7A8D"/>
    <w:rsid w:val="00600550"/>
    <w:rsid w:val="006024A8"/>
    <w:rsid w:val="00602608"/>
    <w:rsid w:val="00604949"/>
    <w:rsid w:val="00606677"/>
    <w:rsid w:val="00607CF1"/>
    <w:rsid w:val="0061181B"/>
    <w:rsid w:val="00613304"/>
    <w:rsid w:val="0061768E"/>
    <w:rsid w:val="00620930"/>
    <w:rsid w:val="00621786"/>
    <w:rsid w:val="006226CC"/>
    <w:rsid w:val="00626657"/>
    <w:rsid w:val="00631D7F"/>
    <w:rsid w:val="00640E29"/>
    <w:rsid w:val="006412C9"/>
    <w:rsid w:val="00645535"/>
    <w:rsid w:val="00654E11"/>
    <w:rsid w:val="00655F15"/>
    <w:rsid w:val="00656ED9"/>
    <w:rsid w:val="00661AED"/>
    <w:rsid w:val="0066304C"/>
    <w:rsid w:val="00664139"/>
    <w:rsid w:val="00666EBB"/>
    <w:rsid w:val="00671561"/>
    <w:rsid w:val="00672718"/>
    <w:rsid w:val="006769A7"/>
    <w:rsid w:val="00676BCC"/>
    <w:rsid w:val="0067774C"/>
    <w:rsid w:val="00682EDF"/>
    <w:rsid w:val="006858E7"/>
    <w:rsid w:val="00686123"/>
    <w:rsid w:val="00687554"/>
    <w:rsid w:val="00690607"/>
    <w:rsid w:val="00693448"/>
    <w:rsid w:val="00695008"/>
    <w:rsid w:val="006A0422"/>
    <w:rsid w:val="006A3A89"/>
    <w:rsid w:val="006A6FDC"/>
    <w:rsid w:val="006C3E4B"/>
    <w:rsid w:val="006C5D54"/>
    <w:rsid w:val="006D0B0B"/>
    <w:rsid w:val="006D0B89"/>
    <w:rsid w:val="006D300A"/>
    <w:rsid w:val="006E277B"/>
    <w:rsid w:val="006E4E54"/>
    <w:rsid w:val="006F1419"/>
    <w:rsid w:val="00700CD4"/>
    <w:rsid w:val="00701DF4"/>
    <w:rsid w:val="00704174"/>
    <w:rsid w:val="00704536"/>
    <w:rsid w:val="00710D90"/>
    <w:rsid w:val="00711899"/>
    <w:rsid w:val="0071201B"/>
    <w:rsid w:val="00717347"/>
    <w:rsid w:val="00723417"/>
    <w:rsid w:val="007253D5"/>
    <w:rsid w:val="00731E7F"/>
    <w:rsid w:val="00732839"/>
    <w:rsid w:val="007349D4"/>
    <w:rsid w:val="00737891"/>
    <w:rsid w:val="00751942"/>
    <w:rsid w:val="00754120"/>
    <w:rsid w:val="00756B93"/>
    <w:rsid w:val="0076124E"/>
    <w:rsid w:val="00763E23"/>
    <w:rsid w:val="00764528"/>
    <w:rsid w:val="007707CC"/>
    <w:rsid w:val="00770932"/>
    <w:rsid w:val="007709E0"/>
    <w:rsid w:val="0077217D"/>
    <w:rsid w:val="00784182"/>
    <w:rsid w:val="00784A71"/>
    <w:rsid w:val="00786728"/>
    <w:rsid w:val="0078685A"/>
    <w:rsid w:val="00786A9F"/>
    <w:rsid w:val="00793BCC"/>
    <w:rsid w:val="007974AB"/>
    <w:rsid w:val="007A0A4C"/>
    <w:rsid w:val="007A642D"/>
    <w:rsid w:val="007B039C"/>
    <w:rsid w:val="007B13FA"/>
    <w:rsid w:val="007B46F9"/>
    <w:rsid w:val="007B4DD3"/>
    <w:rsid w:val="007B4F12"/>
    <w:rsid w:val="007B57E2"/>
    <w:rsid w:val="007B6C06"/>
    <w:rsid w:val="007B6F8C"/>
    <w:rsid w:val="007C0768"/>
    <w:rsid w:val="007C536F"/>
    <w:rsid w:val="007D0031"/>
    <w:rsid w:val="007D0039"/>
    <w:rsid w:val="007D16E0"/>
    <w:rsid w:val="007D5CA1"/>
    <w:rsid w:val="007D637D"/>
    <w:rsid w:val="007E3B70"/>
    <w:rsid w:val="007F05A2"/>
    <w:rsid w:val="007F1ED1"/>
    <w:rsid w:val="007F7875"/>
    <w:rsid w:val="00800AE0"/>
    <w:rsid w:val="008033C7"/>
    <w:rsid w:val="0082309C"/>
    <w:rsid w:val="00826EFB"/>
    <w:rsid w:val="00827E67"/>
    <w:rsid w:val="00832102"/>
    <w:rsid w:val="00833FA8"/>
    <w:rsid w:val="008367F7"/>
    <w:rsid w:val="008403C7"/>
    <w:rsid w:val="00843E2C"/>
    <w:rsid w:val="008442A9"/>
    <w:rsid w:val="0084564C"/>
    <w:rsid w:val="00851F1E"/>
    <w:rsid w:val="008547F9"/>
    <w:rsid w:val="00857770"/>
    <w:rsid w:val="00860960"/>
    <w:rsid w:val="008662AB"/>
    <w:rsid w:val="00867DE4"/>
    <w:rsid w:val="00885497"/>
    <w:rsid w:val="008862A7"/>
    <w:rsid w:val="00890B5C"/>
    <w:rsid w:val="00892869"/>
    <w:rsid w:val="00894630"/>
    <w:rsid w:val="008A1EBE"/>
    <w:rsid w:val="008B03AA"/>
    <w:rsid w:val="008B1FF5"/>
    <w:rsid w:val="008B33CC"/>
    <w:rsid w:val="008B3530"/>
    <w:rsid w:val="008B5CCD"/>
    <w:rsid w:val="008C1B91"/>
    <w:rsid w:val="008C3D2B"/>
    <w:rsid w:val="008C66C9"/>
    <w:rsid w:val="008D2985"/>
    <w:rsid w:val="008D36D8"/>
    <w:rsid w:val="008D4930"/>
    <w:rsid w:val="008D614F"/>
    <w:rsid w:val="008D7CE8"/>
    <w:rsid w:val="008E6981"/>
    <w:rsid w:val="008E7DED"/>
    <w:rsid w:val="008F0E86"/>
    <w:rsid w:val="008F28B9"/>
    <w:rsid w:val="008F4661"/>
    <w:rsid w:val="00900728"/>
    <w:rsid w:val="00900DC8"/>
    <w:rsid w:val="0090366D"/>
    <w:rsid w:val="009037D6"/>
    <w:rsid w:val="00905011"/>
    <w:rsid w:val="00911DD8"/>
    <w:rsid w:val="00917770"/>
    <w:rsid w:val="00920400"/>
    <w:rsid w:val="00921D22"/>
    <w:rsid w:val="00921EF0"/>
    <w:rsid w:val="009227ED"/>
    <w:rsid w:val="0092666E"/>
    <w:rsid w:val="009401B0"/>
    <w:rsid w:val="009409A3"/>
    <w:rsid w:val="0094137E"/>
    <w:rsid w:val="00943B87"/>
    <w:rsid w:val="00943DB9"/>
    <w:rsid w:val="009442C5"/>
    <w:rsid w:val="0094685F"/>
    <w:rsid w:val="009469B0"/>
    <w:rsid w:val="00956048"/>
    <w:rsid w:val="00961BF1"/>
    <w:rsid w:val="0096338E"/>
    <w:rsid w:val="009645B6"/>
    <w:rsid w:val="00966D8C"/>
    <w:rsid w:val="009709F2"/>
    <w:rsid w:val="0097377E"/>
    <w:rsid w:val="009737AA"/>
    <w:rsid w:val="009739D6"/>
    <w:rsid w:val="0097487E"/>
    <w:rsid w:val="00977060"/>
    <w:rsid w:val="00980482"/>
    <w:rsid w:val="0098373C"/>
    <w:rsid w:val="0098378E"/>
    <w:rsid w:val="00986F29"/>
    <w:rsid w:val="009901AD"/>
    <w:rsid w:val="00991EA4"/>
    <w:rsid w:val="009943A8"/>
    <w:rsid w:val="009947D3"/>
    <w:rsid w:val="009963BB"/>
    <w:rsid w:val="009965AB"/>
    <w:rsid w:val="009A0523"/>
    <w:rsid w:val="009A17E2"/>
    <w:rsid w:val="009A55AE"/>
    <w:rsid w:val="009B25CB"/>
    <w:rsid w:val="009B5011"/>
    <w:rsid w:val="009B5851"/>
    <w:rsid w:val="009C406D"/>
    <w:rsid w:val="009C5D19"/>
    <w:rsid w:val="009C5DDA"/>
    <w:rsid w:val="009D5D7C"/>
    <w:rsid w:val="009D6DA7"/>
    <w:rsid w:val="009E02A8"/>
    <w:rsid w:val="009E265C"/>
    <w:rsid w:val="009E2CF5"/>
    <w:rsid w:val="009E5A22"/>
    <w:rsid w:val="009F404C"/>
    <w:rsid w:val="00A00330"/>
    <w:rsid w:val="00A031DE"/>
    <w:rsid w:val="00A07BC2"/>
    <w:rsid w:val="00A13C56"/>
    <w:rsid w:val="00A14698"/>
    <w:rsid w:val="00A15119"/>
    <w:rsid w:val="00A219F9"/>
    <w:rsid w:val="00A31FCC"/>
    <w:rsid w:val="00A36DBC"/>
    <w:rsid w:val="00A413AD"/>
    <w:rsid w:val="00A42F44"/>
    <w:rsid w:val="00A430F4"/>
    <w:rsid w:val="00A4354B"/>
    <w:rsid w:val="00A43B0D"/>
    <w:rsid w:val="00A44A41"/>
    <w:rsid w:val="00A4563D"/>
    <w:rsid w:val="00A50EDE"/>
    <w:rsid w:val="00A53396"/>
    <w:rsid w:val="00A55778"/>
    <w:rsid w:val="00A57284"/>
    <w:rsid w:val="00A62C54"/>
    <w:rsid w:val="00A6409C"/>
    <w:rsid w:val="00A66B32"/>
    <w:rsid w:val="00A71AA3"/>
    <w:rsid w:val="00A747A4"/>
    <w:rsid w:val="00A76E82"/>
    <w:rsid w:val="00A77B22"/>
    <w:rsid w:val="00A77C6C"/>
    <w:rsid w:val="00A949AD"/>
    <w:rsid w:val="00AA16A6"/>
    <w:rsid w:val="00AA38D8"/>
    <w:rsid w:val="00AB0C9D"/>
    <w:rsid w:val="00AB11DB"/>
    <w:rsid w:val="00AC2C79"/>
    <w:rsid w:val="00AC3454"/>
    <w:rsid w:val="00AC3596"/>
    <w:rsid w:val="00AC3713"/>
    <w:rsid w:val="00AD0292"/>
    <w:rsid w:val="00AD09F4"/>
    <w:rsid w:val="00AD2CA7"/>
    <w:rsid w:val="00AD797A"/>
    <w:rsid w:val="00AE3B1D"/>
    <w:rsid w:val="00AE4204"/>
    <w:rsid w:val="00AF004F"/>
    <w:rsid w:val="00AF1354"/>
    <w:rsid w:val="00AF4727"/>
    <w:rsid w:val="00B01701"/>
    <w:rsid w:val="00B04987"/>
    <w:rsid w:val="00B04F78"/>
    <w:rsid w:val="00B067B2"/>
    <w:rsid w:val="00B07A1C"/>
    <w:rsid w:val="00B110D3"/>
    <w:rsid w:val="00B12151"/>
    <w:rsid w:val="00B13F7B"/>
    <w:rsid w:val="00B1409C"/>
    <w:rsid w:val="00B1669E"/>
    <w:rsid w:val="00B21B9F"/>
    <w:rsid w:val="00B21F2B"/>
    <w:rsid w:val="00B23A19"/>
    <w:rsid w:val="00B25363"/>
    <w:rsid w:val="00B26AC4"/>
    <w:rsid w:val="00B3064B"/>
    <w:rsid w:val="00B30E1F"/>
    <w:rsid w:val="00B32F56"/>
    <w:rsid w:val="00B37EB4"/>
    <w:rsid w:val="00B5069E"/>
    <w:rsid w:val="00B54FA2"/>
    <w:rsid w:val="00B559AE"/>
    <w:rsid w:val="00B576D4"/>
    <w:rsid w:val="00B605B4"/>
    <w:rsid w:val="00B62991"/>
    <w:rsid w:val="00B65994"/>
    <w:rsid w:val="00B718B5"/>
    <w:rsid w:val="00B72444"/>
    <w:rsid w:val="00B74412"/>
    <w:rsid w:val="00B7695F"/>
    <w:rsid w:val="00B80C73"/>
    <w:rsid w:val="00B824FB"/>
    <w:rsid w:val="00B8579B"/>
    <w:rsid w:val="00B85D54"/>
    <w:rsid w:val="00B86E61"/>
    <w:rsid w:val="00B90483"/>
    <w:rsid w:val="00B90FCE"/>
    <w:rsid w:val="00B9269A"/>
    <w:rsid w:val="00B93DBC"/>
    <w:rsid w:val="00B9423F"/>
    <w:rsid w:val="00BA21E0"/>
    <w:rsid w:val="00BA3557"/>
    <w:rsid w:val="00BA65E4"/>
    <w:rsid w:val="00BA661E"/>
    <w:rsid w:val="00BB02A3"/>
    <w:rsid w:val="00BB7153"/>
    <w:rsid w:val="00BC70E4"/>
    <w:rsid w:val="00BD1277"/>
    <w:rsid w:val="00BD600A"/>
    <w:rsid w:val="00BE2E9A"/>
    <w:rsid w:val="00BE693A"/>
    <w:rsid w:val="00BF20DB"/>
    <w:rsid w:val="00BF3EEA"/>
    <w:rsid w:val="00BF73DD"/>
    <w:rsid w:val="00C0088E"/>
    <w:rsid w:val="00C00896"/>
    <w:rsid w:val="00C02189"/>
    <w:rsid w:val="00C078B5"/>
    <w:rsid w:val="00C11ECF"/>
    <w:rsid w:val="00C17EB1"/>
    <w:rsid w:val="00C231F3"/>
    <w:rsid w:val="00C30075"/>
    <w:rsid w:val="00C30FDC"/>
    <w:rsid w:val="00C319C9"/>
    <w:rsid w:val="00C3384E"/>
    <w:rsid w:val="00C33895"/>
    <w:rsid w:val="00C3680C"/>
    <w:rsid w:val="00C36F3C"/>
    <w:rsid w:val="00C44C07"/>
    <w:rsid w:val="00C4612E"/>
    <w:rsid w:val="00C462C2"/>
    <w:rsid w:val="00C543DF"/>
    <w:rsid w:val="00C54E49"/>
    <w:rsid w:val="00C573B5"/>
    <w:rsid w:val="00C60E03"/>
    <w:rsid w:val="00C61C3D"/>
    <w:rsid w:val="00C62F43"/>
    <w:rsid w:val="00C63B42"/>
    <w:rsid w:val="00C63D5B"/>
    <w:rsid w:val="00C72B1E"/>
    <w:rsid w:val="00C72DCE"/>
    <w:rsid w:val="00C73DCA"/>
    <w:rsid w:val="00C808E7"/>
    <w:rsid w:val="00C91A39"/>
    <w:rsid w:val="00C935BF"/>
    <w:rsid w:val="00CA0A79"/>
    <w:rsid w:val="00CA163D"/>
    <w:rsid w:val="00CA33BA"/>
    <w:rsid w:val="00CA6054"/>
    <w:rsid w:val="00CA6BCE"/>
    <w:rsid w:val="00CB2F23"/>
    <w:rsid w:val="00CB5102"/>
    <w:rsid w:val="00CC0774"/>
    <w:rsid w:val="00CC3862"/>
    <w:rsid w:val="00CC4ADD"/>
    <w:rsid w:val="00CD2BBD"/>
    <w:rsid w:val="00CD35A0"/>
    <w:rsid w:val="00CD3F38"/>
    <w:rsid w:val="00CE087F"/>
    <w:rsid w:val="00CE0DAB"/>
    <w:rsid w:val="00CE11EC"/>
    <w:rsid w:val="00CE36E2"/>
    <w:rsid w:val="00CE7C41"/>
    <w:rsid w:val="00CF75DD"/>
    <w:rsid w:val="00CF7E02"/>
    <w:rsid w:val="00D05ACC"/>
    <w:rsid w:val="00D06451"/>
    <w:rsid w:val="00D14DCC"/>
    <w:rsid w:val="00D16238"/>
    <w:rsid w:val="00D204FD"/>
    <w:rsid w:val="00D258CC"/>
    <w:rsid w:val="00D33649"/>
    <w:rsid w:val="00D33ED5"/>
    <w:rsid w:val="00D35E9F"/>
    <w:rsid w:val="00D4312A"/>
    <w:rsid w:val="00D45215"/>
    <w:rsid w:val="00D4564B"/>
    <w:rsid w:val="00D464D3"/>
    <w:rsid w:val="00D52EEC"/>
    <w:rsid w:val="00D533A4"/>
    <w:rsid w:val="00D55FCF"/>
    <w:rsid w:val="00D60B6C"/>
    <w:rsid w:val="00D623C4"/>
    <w:rsid w:val="00D62E84"/>
    <w:rsid w:val="00D65095"/>
    <w:rsid w:val="00D70EB9"/>
    <w:rsid w:val="00D7623F"/>
    <w:rsid w:val="00D809C7"/>
    <w:rsid w:val="00D903B2"/>
    <w:rsid w:val="00D90B0C"/>
    <w:rsid w:val="00D912B5"/>
    <w:rsid w:val="00D927CA"/>
    <w:rsid w:val="00DA1E2C"/>
    <w:rsid w:val="00DA2624"/>
    <w:rsid w:val="00DB460A"/>
    <w:rsid w:val="00DB653B"/>
    <w:rsid w:val="00DB79CE"/>
    <w:rsid w:val="00DD1471"/>
    <w:rsid w:val="00DD1B35"/>
    <w:rsid w:val="00DD7AB4"/>
    <w:rsid w:val="00DE04EC"/>
    <w:rsid w:val="00DE1D58"/>
    <w:rsid w:val="00DE53FD"/>
    <w:rsid w:val="00DF0050"/>
    <w:rsid w:val="00DF192B"/>
    <w:rsid w:val="00DF3708"/>
    <w:rsid w:val="00DF422E"/>
    <w:rsid w:val="00DF6984"/>
    <w:rsid w:val="00E043D5"/>
    <w:rsid w:val="00E04C58"/>
    <w:rsid w:val="00E07FE4"/>
    <w:rsid w:val="00E1178C"/>
    <w:rsid w:val="00E12846"/>
    <w:rsid w:val="00E12865"/>
    <w:rsid w:val="00E1598C"/>
    <w:rsid w:val="00E171D4"/>
    <w:rsid w:val="00E20D5A"/>
    <w:rsid w:val="00E232A1"/>
    <w:rsid w:val="00E2433A"/>
    <w:rsid w:val="00E275D0"/>
    <w:rsid w:val="00E35604"/>
    <w:rsid w:val="00E40FD3"/>
    <w:rsid w:val="00E43CFE"/>
    <w:rsid w:val="00E46D74"/>
    <w:rsid w:val="00E510E7"/>
    <w:rsid w:val="00E54080"/>
    <w:rsid w:val="00E55CDD"/>
    <w:rsid w:val="00E5799B"/>
    <w:rsid w:val="00E6170A"/>
    <w:rsid w:val="00E63F09"/>
    <w:rsid w:val="00E643C2"/>
    <w:rsid w:val="00E66D1E"/>
    <w:rsid w:val="00E67C16"/>
    <w:rsid w:val="00E72030"/>
    <w:rsid w:val="00E774DF"/>
    <w:rsid w:val="00E7796F"/>
    <w:rsid w:val="00E80074"/>
    <w:rsid w:val="00E83E27"/>
    <w:rsid w:val="00E84040"/>
    <w:rsid w:val="00E848A7"/>
    <w:rsid w:val="00E85548"/>
    <w:rsid w:val="00E9091A"/>
    <w:rsid w:val="00E94326"/>
    <w:rsid w:val="00E94979"/>
    <w:rsid w:val="00EA01AD"/>
    <w:rsid w:val="00EA35D6"/>
    <w:rsid w:val="00EB0525"/>
    <w:rsid w:val="00EB0AF9"/>
    <w:rsid w:val="00EB20C3"/>
    <w:rsid w:val="00EC128E"/>
    <w:rsid w:val="00EC133C"/>
    <w:rsid w:val="00EC2A45"/>
    <w:rsid w:val="00EC73F5"/>
    <w:rsid w:val="00ED459B"/>
    <w:rsid w:val="00ED57CB"/>
    <w:rsid w:val="00EE0378"/>
    <w:rsid w:val="00EE15E0"/>
    <w:rsid w:val="00EE4171"/>
    <w:rsid w:val="00F0324A"/>
    <w:rsid w:val="00F033A8"/>
    <w:rsid w:val="00F07FD8"/>
    <w:rsid w:val="00F12D2F"/>
    <w:rsid w:val="00F15C5B"/>
    <w:rsid w:val="00F204D5"/>
    <w:rsid w:val="00F21B66"/>
    <w:rsid w:val="00F22245"/>
    <w:rsid w:val="00F26BF1"/>
    <w:rsid w:val="00F27760"/>
    <w:rsid w:val="00F31077"/>
    <w:rsid w:val="00F3377F"/>
    <w:rsid w:val="00F34647"/>
    <w:rsid w:val="00F35516"/>
    <w:rsid w:val="00F3675A"/>
    <w:rsid w:val="00F438FF"/>
    <w:rsid w:val="00F5082F"/>
    <w:rsid w:val="00F53D8C"/>
    <w:rsid w:val="00F5551B"/>
    <w:rsid w:val="00F62E20"/>
    <w:rsid w:val="00F631D3"/>
    <w:rsid w:val="00F647D2"/>
    <w:rsid w:val="00F64A66"/>
    <w:rsid w:val="00F6729B"/>
    <w:rsid w:val="00F67480"/>
    <w:rsid w:val="00F679E7"/>
    <w:rsid w:val="00F67A2E"/>
    <w:rsid w:val="00F7046B"/>
    <w:rsid w:val="00F71779"/>
    <w:rsid w:val="00F71A75"/>
    <w:rsid w:val="00F7609F"/>
    <w:rsid w:val="00F81E51"/>
    <w:rsid w:val="00F921CA"/>
    <w:rsid w:val="00FA0EA1"/>
    <w:rsid w:val="00FA5A76"/>
    <w:rsid w:val="00FB0000"/>
    <w:rsid w:val="00FB5CB5"/>
    <w:rsid w:val="00FC1024"/>
    <w:rsid w:val="00FC3B31"/>
    <w:rsid w:val="00FC49CF"/>
    <w:rsid w:val="00FD03F6"/>
    <w:rsid w:val="00FD0E0D"/>
    <w:rsid w:val="00FD0E73"/>
    <w:rsid w:val="00FD0FB7"/>
    <w:rsid w:val="00FD1260"/>
    <w:rsid w:val="00FD4154"/>
    <w:rsid w:val="00FD47E3"/>
    <w:rsid w:val="00FD6728"/>
    <w:rsid w:val="00FD712B"/>
    <w:rsid w:val="00FE15F4"/>
    <w:rsid w:val="00FE72AE"/>
    <w:rsid w:val="00FF2FCA"/>
    <w:rsid w:val="00FF5CAC"/>
    <w:rsid w:val="0120319A"/>
    <w:rsid w:val="03851F68"/>
    <w:rsid w:val="03A77C9A"/>
    <w:rsid w:val="05B70C73"/>
    <w:rsid w:val="05CC4300"/>
    <w:rsid w:val="06DA0AAA"/>
    <w:rsid w:val="07421058"/>
    <w:rsid w:val="074B56A1"/>
    <w:rsid w:val="08397A78"/>
    <w:rsid w:val="08654911"/>
    <w:rsid w:val="08C870E8"/>
    <w:rsid w:val="09711723"/>
    <w:rsid w:val="099A06FD"/>
    <w:rsid w:val="09AF1FB4"/>
    <w:rsid w:val="0A9A74AD"/>
    <w:rsid w:val="0B633820"/>
    <w:rsid w:val="0C476553"/>
    <w:rsid w:val="0CFF1C54"/>
    <w:rsid w:val="0DE1346A"/>
    <w:rsid w:val="0F352ED3"/>
    <w:rsid w:val="0F896F02"/>
    <w:rsid w:val="0FFA5A77"/>
    <w:rsid w:val="10A17600"/>
    <w:rsid w:val="10C2168E"/>
    <w:rsid w:val="111B519A"/>
    <w:rsid w:val="11872D28"/>
    <w:rsid w:val="11D15194"/>
    <w:rsid w:val="12420027"/>
    <w:rsid w:val="1299772D"/>
    <w:rsid w:val="132E18F5"/>
    <w:rsid w:val="13360CAA"/>
    <w:rsid w:val="1365507D"/>
    <w:rsid w:val="13BE5D4A"/>
    <w:rsid w:val="13D821C5"/>
    <w:rsid w:val="146D459F"/>
    <w:rsid w:val="14CF41F6"/>
    <w:rsid w:val="152C3910"/>
    <w:rsid w:val="15D25B78"/>
    <w:rsid w:val="16164407"/>
    <w:rsid w:val="162A6F44"/>
    <w:rsid w:val="16776AFB"/>
    <w:rsid w:val="16EF6EA9"/>
    <w:rsid w:val="17093E44"/>
    <w:rsid w:val="174B4358"/>
    <w:rsid w:val="17582095"/>
    <w:rsid w:val="1764296A"/>
    <w:rsid w:val="18204A2D"/>
    <w:rsid w:val="187005FE"/>
    <w:rsid w:val="18EF1C5B"/>
    <w:rsid w:val="18F205BF"/>
    <w:rsid w:val="190B5A9F"/>
    <w:rsid w:val="19867A74"/>
    <w:rsid w:val="19943274"/>
    <w:rsid w:val="1A0933D9"/>
    <w:rsid w:val="1A2250A8"/>
    <w:rsid w:val="1A9F0930"/>
    <w:rsid w:val="1AC27739"/>
    <w:rsid w:val="1ADB727B"/>
    <w:rsid w:val="1AE5648A"/>
    <w:rsid w:val="1B5C504C"/>
    <w:rsid w:val="1B785986"/>
    <w:rsid w:val="1BBB2EE1"/>
    <w:rsid w:val="1BC7661E"/>
    <w:rsid w:val="1C384F05"/>
    <w:rsid w:val="1CEE3170"/>
    <w:rsid w:val="1D2078F9"/>
    <w:rsid w:val="1D2D5A40"/>
    <w:rsid w:val="1DC767C6"/>
    <w:rsid w:val="1DCC2C0C"/>
    <w:rsid w:val="1DDF407E"/>
    <w:rsid w:val="1E46418F"/>
    <w:rsid w:val="1ED04269"/>
    <w:rsid w:val="1ED527A7"/>
    <w:rsid w:val="1EEB6787"/>
    <w:rsid w:val="20827CC7"/>
    <w:rsid w:val="2121429B"/>
    <w:rsid w:val="220E2E05"/>
    <w:rsid w:val="223822BA"/>
    <w:rsid w:val="23761FA4"/>
    <w:rsid w:val="25074264"/>
    <w:rsid w:val="25850C61"/>
    <w:rsid w:val="263D229A"/>
    <w:rsid w:val="27045AF0"/>
    <w:rsid w:val="270A26A5"/>
    <w:rsid w:val="27486446"/>
    <w:rsid w:val="2759632B"/>
    <w:rsid w:val="279A14B8"/>
    <w:rsid w:val="28550493"/>
    <w:rsid w:val="287678B8"/>
    <w:rsid w:val="29996868"/>
    <w:rsid w:val="29A5436F"/>
    <w:rsid w:val="29E56E61"/>
    <w:rsid w:val="2A451F13"/>
    <w:rsid w:val="2AAC4A70"/>
    <w:rsid w:val="2B226D34"/>
    <w:rsid w:val="2C3E5975"/>
    <w:rsid w:val="2D6F2A45"/>
    <w:rsid w:val="2D821F7F"/>
    <w:rsid w:val="2E4B0D01"/>
    <w:rsid w:val="2E75756B"/>
    <w:rsid w:val="2F4C31A7"/>
    <w:rsid w:val="2F6B3D6A"/>
    <w:rsid w:val="2F710C0C"/>
    <w:rsid w:val="2F9F7FD9"/>
    <w:rsid w:val="2FB203CF"/>
    <w:rsid w:val="2FB87437"/>
    <w:rsid w:val="30442B89"/>
    <w:rsid w:val="305D5843"/>
    <w:rsid w:val="311B52AC"/>
    <w:rsid w:val="31375A06"/>
    <w:rsid w:val="32762609"/>
    <w:rsid w:val="32EF241F"/>
    <w:rsid w:val="336A72A0"/>
    <w:rsid w:val="33910FE5"/>
    <w:rsid w:val="33E84183"/>
    <w:rsid w:val="3444277D"/>
    <w:rsid w:val="34AA0F47"/>
    <w:rsid w:val="34D430E7"/>
    <w:rsid w:val="350057BE"/>
    <w:rsid w:val="3524697E"/>
    <w:rsid w:val="3532696E"/>
    <w:rsid w:val="35CF6892"/>
    <w:rsid w:val="36C61E3E"/>
    <w:rsid w:val="36F24AD0"/>
    <w:rsid w:val="37CA7939"/>
    <w:rsid w:val="385F0495"/>
    <w:rsid w:val="38B86228"/>
    <w:rsid w:val="390E5DEA"/>
    <w:rsid w:val="392A113F"/>
    <w:rsid w:val="394A0169"/>
    <w:rsid w:val="39825379"/>
    <w:rsid w:val="39F84EBE"/>
    <w:rsid w:val="3A133525"/>
    <w:rsid w:val="3A2C2E47"/>
    <w:rsid w:val="3AB41105"/>
    <w:rsid w:val="3AB77AC4"/>
    <w:rsid w:val="3BFA153B"/>
    <w:rsid w:val="3C1B01D2"/>
    <w:rsid w:val="3C86278A"/>
    <w:rsid w:val="3CCC3CBA"/>
    <w:rsid w:val="3D325A48"/>
    <w:rsid w:val="3DA35289"/>
    <w:rsid w:val="3DB318BE"/>
    <w:rsid w:val="3F0273EA"/>
    <w:rsid w:val="3F0B139E"/>
    <w:rsid w:val="3F9B3831"/>
    <w:rsid w:val="404C377B"/>
    <w:rsid w:val="40AB1616"/>
    <w:rsid w:val="40C60657"/>
    <w:rsid w:val="41851978"/>
    <w:rsid w:val="420540D6"/>
    <w:rsid w:val="429C0C46"/>
    <w:rsid w:val="42D919F8"/>
    <w:rsid w:val="42F33F2D"/>
    <w:rsid w:val="430E0D8F"/>
    <w:rsid w:val="4342523A"/>
    <w:rsid w:val="43637DA2"/>
    <w:rsid w:val="43D90890"/>
    <w:rsid w:val="43EA5CBE"/>
    <w:rsid w:val="4415121C"/>
    <w:rsid w:val="44501A94"/>
    <w:rsid w:val="44987D15"/>
    <w:rsid w:val="44B354B1"/>
    <w:rsid w:val="44F83193"/>
    <w:rsid w:val="455647C6"/>
    <w:rsid w:val="45A11B50"/>
    <w:rsid w:val="45C52277"/>
    <w:rsid w:val="467E1B16"/>
    <w:rsid w:val="46CD64DD"/>
    <w:rsid w:val="47751284"/>
    <w:rsid w:val="493F477D"/>
    <w:rsid w:val="494B1385"/>
    <w:rsid w:val="49F8311C"/>
    <w:rsid w:val="4A8613EF"/>
    <w:rsid w:val="4A876EC4"/>
    <w:rsid w:val="4A9960FD"/>
    <w:rsid w:val="4B30024B"/>
    <w:rsid w:val="4C194F7D"/>
    <w:rsid w:val="4C5B0350"/>
    <w:rsid w:val="4CC4283B"/>
    <w:rsid w:val="4CDC1055"/>
    <w:rsid w:val="4D8221DE"/>
    <w:rsid w:val="4E1D3C5F"/>
    <w:rsid w:val="4E243EBB"/>
    <w:rsid w:val="4ED47E90"/>
    <w:rsid w:val="4F404BDA"/>
    <w:rsid w:val="4F9F5C0F"/>
    <w:rsid w:val="4FA2503B"/>
    <w:rsid w:val="4FD45EA8"/>
    <w:rsid w:val="4FDE4EA3"/>
    <w:rsid w:val="50116596"/>
    <w:rsid w:val="504F4A24"/>
    <w:rsid w:val="506E5280"/>
    <w:rsid w:val="50DD5DF6"/>
    <w:rsid w:val="52552C56"/>
    <w:rsid w:val="533571CC"/>
    <w:rsid w:val="53DA49EF"/>
    <w:rsid w:val="54BE41A4"/>
    <w:rsid w:val="55244C0A"/>
    <w:rsid w:val="552C476F"/>
    <w:rsid w:val="555D47BD"/>
    <w:rsid w:val="556F4B4E"/>
    <w:rsid w:val="56266B82"/>
    <w:rsid w:val="585059C1"/>
    <w:rsid w:val="58BF49B3"/>
    <w:rsid w:val="596B16D7"/>
    <w:rsid w:val="59792C58"/>
    <w:rsid w:val="597E05F6"/>
    <w:rsid w:val="59C05868"/>
    <w:rsid w:val="59C91C76"/>
    <w:rsid w:val="5A8532D3"/>
    <w:rsid w:val="5BCC1C3E"/>
    <w:rsid w:val="5C982C77"/>
    <w:rsid w:val="5D5A7A84"/>
    <w:rsid w:val="5DA3577C"/>
    <w:rsid w:val="5E112C96"/>
    <w:rsid w:val="5E510B4D"/>
    <w:rsid w:val="5EED662C"/>
    <w:rsid w:val="5F1F23DC"/>
    <w:rsid w:val="5FD723F5"/>
    <w:rsid w:val="61002433"/>
    <w:rsid w:val="611F466E"/>
    <w:rsid w:val="632A64FF"/>
    <w:rsid w:val="636D49AE"/>
    <w:rsid w:val="63F7093A"/>
    <w:rsid w:val="6436261B"/>
    <w:rsid w:val="64391113"/>
    <w:rsid w:val="65947021"/>
    <w:rsid w:val="65A43AF5"/>
    <w:rsid w:val="65D00FE8"/>
    <w:rsid w:val="65D37DA2"/>
    <w:rsid w:val="66BF6CFD"/>
    <w:rsid w:val="67090F2F"/>
    <w:rsid w:val="67104CE8"/>
    <w:rsid w:val="67266D2D"/>
    <w:rsid w:val="676B29E0"/>
    <w:rsid w:val="67AF105C"/>
    <w:rsid w:val="687355AB"/>
    <w:rsid w:val="68AC2531"/>
    <w:rsid w:val="68DB1169"/>
    <w:rsid w:val="6A0732B7"/>
    <w:rsid w:val="6AB55994"/>
    <w:rsid w:val="6C89167E"/>
    <w:rsid w:val="6D064838"/>
    <w:rsid w:val="6DBC2C19"/>
    <w:rsid w:val="6E86747C"/>
    <w:rsid w:val="6E9B2E11"/>
    <w:rsid w:val="6F472587"/>
    <w:rsid w:val="6F9F2624"/>
    <w:rsid w:val="6FE86165"/>
    <w:rsid w:val="71E2173A"/>
    <w:rsid w:val="71E54E3F"/>
    <w:rsid w:val="723924F3"/>
    <w:rsid w:val="72584CB9"/>
    <w:rsid w:val="725917E8"/>
    <w:rsid w:val="72CA5FEF"/>
    <w:rsid w:val="7347656B"/>
    <w:rsid w:val="736D7B91"/>
    <w:rsid w:val="73AC4E9F"/>
    <w:rsid w:val="73C871C2"/>
    <w:rsid w:val="73CB6DB5"/>
    <w:rsid w:val="73DD095A"/>
    <w:rsid w:val="7442683C"/>
    <w:rsid w:val="74B163CE"/>
    <w:rsid w:val="74B4279D"/>
    <w:rsid w:val="75786EF8"/>
    <w:rsid w:val="761D0362"/>
    <w:rsid w:val="76C80AB1"/>
    <w:rsid w:val="77FC6230"/>
    <w:rsid w:val="78200E9F"/>
    <w:rsid w:val="786B1D9B"/>
    <w:rsid w:val="78830905"/>
    <w:rsid w:val="79B85C40"/>
    <w:rsid w:val="7A1A55F6"/>
    <w:rsid w:val="7A385137"/>
    <w:rsid w:val="7B130C5B"/>
    <w:rsid w:val="7B406F66"/>
    <w:rsid w:val="7B833601"/>
    <w:rsid w:val="7B9503C6"/>
    <w:rsid w:val="7BD11376"/>
    <w:rsid w:val="7C03653A"/>
    <w:rsid w:val="7C4C4851"/>
    <w:rsid w:val="7CB05A16"/>
    <w:rsid w:val="7CBA5780"/>
    <w:rsid w:val="7CCF56B2"/>
    <w:rsid w:val="7D2252DA"/>
    <w:rsid w:val="7D2F28B6"/>
    <w:rsid w:val="7D850974"/>
    <w:rsid w:val="7DDA2A63"/>
    <w:rsid w:val="7E1A1B21"/>
    <w:rsid w:val="7E370091"/>
    <w:rsid w:val="7ECA5898"/>
    <w:rsid w:val="7ECF49DC"/>
    <w:rsid w:val="7F2755A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qFormat="1" w:unhideWhenUsed="0" w:uiPriority="99" w:name="HTML Address"/>
    <w:lsdException w:qFormat="1" w:unhideWhenUsed="0" w:uiPriority="99" w:name="HTML Cite"/>
    <w:lsdException w:qFormat="1" w:unhideWhenUsed="0" w:uiPriority="99" w:name="HTML Code"/>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4">
    <w:name w:val="heading 2"/>
    <w:basedOn w:val="1"/>
    <w:next w:val="1"/>
    <w:link w:val="22"/>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5">
    <w:name w:val="heading 3"/>
    <w:basedOn w:val="1"/>
    <w:next w:val="1"/>
    <w:link w:val="23"/>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6">
    <w:name w:val="heading 4"/>
    <w:basedOn w:val="1"/>
    <w:next w:val="1"/>
    <w:link w:val="24"/>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7">
    <w:name w:val="heading 5"/>
    <w:basedOn w:val="1"/>
    <w:next w:val="1"/>
    <w:link w:val="25"/>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8">
    <w:name w:val="heading 6"/>
    <w:basedOn w:val="1"/>
    <w:next w:val="1"/>
    <w:link w:val="26"/>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locked/>
    <w:uiPriority w:val="99"/>
    <w:pPr>
      <w:spacing w:line="360" w:lineRule="auto"/>
      <w:ind w:firstLine="560" w:firstLineChars="200"/>
    </w:pPr>
    <w:rPr>
      <w:rFonts w:ascii="仿宋_GB2312" w:hAnsi="仿宋_GB2312" w:eastAsia="仿宋_GB2312"/>
      <w:kern w:val="0"/>
      <w:sz w:val="20"/>
      <w:szCs w:val="20"/>
    </w:rPr>
  </w:style>
  <w:style w:type="paragraph" w:styleId="9">
    <w:name w:val="HTML Address"/>
    <w:basedOn w:val="1"/>
    <w:link w:val="27"/>
    <w:semiHidden/>
    <w:qFormat/>
    <w:uiPriority w:val="99"/>
    <w:pPr>
      <w:widowControl/>
      <w:jc w:val="left"/>
    </w:pPr>
    <w:rPr>
      <w:rFonts w:ascii="宋体" w:hAnsi="宋体" w:cs="宋体"/>
      <w:kern w:val="0"/>
      <w:sz w:val="24"/>
      <w:szCs w:val="24"/>
    </w:rPr>
  </w:style>
  <w:style w:type="paragraph" w:styleId="10">
    <w:name w:val="Balloon Text"/>
    <w:basedOn w:val="1"/>
    <w:link w:val="131"/>
    <w:semiHidden/>
    <w:qFormat/>
    <w:locked/>
    <w:uiPriority w:val="99"/>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6">
    <w:name w:val="FollowedHyperlink"/>
    <w:basedOn w:val="15"/>
    <w:semiHidden/>
    <w:qFormat/>
    <w:uiPriority w:val="99"/>
    <w:rPr>
      <w:rFonts w:cs="Times New Roman"/>
      <w:color w:val="auto"/>
      <w:u w:val="none"/>
    </w:rPr>
  </w:style>
  <w:style w:type="character" w:styleId="17">
    <w:name w:val="Emphasis"/>
    <w:basedOn w:val="15"/>
    <w:qFormat/>
    <w:uiPriority w:val="99"/>
    <w:rPr>
      <w:rFonts w:cs="Times New Roman"/>
    </w:rPr>
  </w:style>
  <w:style w:type="character" w:styleId="18">
    <w:name w:val="Hyperlink"/>
    <w:basedOn w:val="15"/>
    <w:semiHidden/>
    <w:qFormat/>
    <w:uiPriority w:val="99"/>
    <w:rPr>
      <w:rFonts w:cs="Times New Roman"/>
      <w:color w:val="auto"/>
      <w:u w:val="none"/>
    </w:rPr>
  </w:style>
  <w:style w:type="character" w:styleId="19">
    <w:name w:val="HTML Code"/>
    <w:basedOn w:val="15"/>
    <w:semiHidden/>
    <w:qFormat/>
    <w:uiPriority w:val="99"/>
    <w:rPr>
      <w:rFonts w:ascii="宋体" w:hAnsi="宋体" w:eastAsia="宋体" w:cs="宋体"/>
      <w:sz w:val="24"/>
      <w:szCs w:val="24"/>
    </w:rPr>
  </w:style>
  <w:style w:type="character" w:styleId="20">
    <w:name w:val="HTML Cite"/>
    <w:basedOn w:val="15"/>
    <w:semiHidden/>
    <w:qFormat/>
    <w:uiPriority w:val="99"/>
    <w:rPr>
      <w:rFonts w:cs="Times New Roman"/>
    </w:rPr>
  </w:style>
  <w:style w:type="character" w:customStyle="1" w:styleId="21">
    <w:name w:val="标题 1 Char"/>
    <w:basedOn w:val="15"/>
    <w:link w:val="3"/>
    <w:qFormat/>
    <w:locked/>
    <w:uiPriority w:val="99"/>
    <w:rPr>
      <w:rFonts w:ascii="宋体" w:hAnsi="宋体" w:eastAsia="宋体" w:cs="宋体"/>
      <w:kern w:val="36"/>
      <w:sz w:val="48"/>
      <w:szCs w:val="48"/>
    </w:rPr>
  </w:style>
  <w:style w:type="character" w:customStyle="1" w:styleId="22">
    <w:name w:val="标题 2 Char"/>
    <w:basedOn w:val="15"/>
    <w:link w:val="4"/>
    <w:qFormat/>
    <w:locked/>
    <w:uiPriority w:val="99"/>
    <w:rPr>
      <w:rFonts w:ascii="宋体" w:hAnsi="宋体" w:eastAsia="宋体" w:cs="宋体"/>
      <w:kern w:val="0"/>
      <w:sz w:val="36"/>
      <w:szCs w:val="36"/>
    </w:rPr>
  </w:style>
  <w:style w:type="character" w:customStyle="1" w:styleId="23">
    <w:name w:val="标题 3 Char"/>
    <w:basedOn w:val="15"/>
    <w:link w:val="5"/>
    <w:qFormat/>
    <w:locked/>
    <w:uiPriority w:val="99"/>
    <w:rPr>
      <w:rFonts w:ascii="宋体" w:hAnsi="宋体" w:eastAsia="宋体" w:cs="宋体"/>
      <w:kern w:val="0"/>
      <w:sz w:val="27"/>
      <w:szCs w:val="27"/>
    </w:rPr>
  </w:style>
  <w:style w:type="character" w:customStyle="1" w:styleId="24">
    <w:name w:val="标题 4 Char"/>
    <w:basedOn w:val="15"/>
    <w:link w:val="6"/>
    <w:qFormat/>
    <w:locked/>
    <w:uiPriority w:val="99"/>
    <w:rPr>
      <w:rFonts w:ascii="宋体" w:hAnsi="宋体" w:eastAsia="宋体" w:cs="宋体"/>
      <w:kern w:val="0"/>
      <w:sz w:val="24"/>
      <w:szCs w:val="24"/>
    </w:rPr>
  </w:style>
  <w:style w:type="character" w:customStyle="1" w:styleId="25">
    <w:name w:val="标题 5 Char"/>
    <w:basedOn w:val="15"/>
    <w:link w:val="7"/>
    <w:qFormat/>
    <w:locked/>
    <w:uiPriority w:val="99"/>
    <w:rPr>
      <w:rFonts w:ascii="宋体" w:hAnsi="宋体" w:eastAsia="宋体" w:cs="宋体"/>
      <w:kern w:val="0"/>
      <w:sz w:val="20"/>
      <w:szCs w:val="20"/>
    </w:rPr>
  </w:style>
  <w:style w:type="character" w:customStyle="1" w:styleId="26">
    <w:name w:val="标题 6 Char"/>
    <w:basedOn w:val="15"/>
    <w:link w:val="8"/>
    <w:qFormat/>
    <w:locked/>
    <w:uiPriority w:val="99"/>
    <w:rPr>
      <w:rFonts w:ascii="宋体" w:hAnsi="宋体" w:eastAsia="宋体" w:cs="宋体"/>
      <w:kern w:val="0"/>
      <w:sz w:val="15"/>
      <w:szCs w:val="15"/>
    </w:rPr>
  </w:style>
  <w:style w:type="character" w:customStyle="1" w:styleId="27">
    <w:name w:val="HTML 地址 Char"/>
    <w:basedOn w:val="15"/>
    <w:link w:val="9"/>
    <w:semiHidden/>
    <w:qFormat/>
    <w:locked/>
    <w:uiPriority w:val="99"/>
    <w:rPr>
      <w:rFonts w:ascii="宋体" w:hAnsi="宋体" w:eastAsia="宋体" w:cs="宋体"/>
      <w:kern w:val="0"/>
      <w:sz w:val="24"/>
      <w:szCs w:val="24"/>
    </w:rPr>
  </w:style>
  <w:style w:type="character" w:customStyle="1" w:styleId="28">
    <w:name w:val="页脚 Char"/>
    <w:basedOn w:val="15"/>
    <w:link w:val="11"/>
    <w:qFormat/>
    <w:locked/>
    <w:uiPriority w:val="99"/>
    <w:rPr>
      <w:rFonts w:cs="Times New Roman"/>
      <w:sz w:val="18"/>
      <w:szCs w:val="18"/>
    </w:rPr>
  </w:style>
  <w:style w:type="character" w:customStyle="1" w:styleId="29">
    <w:name w:val="页眉 Char"/>
    <w:basedOn w:val="15"/>
    <w:link w:val="12"/>
    <w:semiHidden/>
    <w:qFormat/>
    <w:locked/>
    <w:uiPriority w:val="99"/>
    <w:rPr>
      <w:rFonts w:cs="Times New Roman"/>
      <w:sz w:val="18"/>
      <w:szCs w:val="18"/>
    </w:rPr>
  </w:style>
  <w:style w:type="paragraph" w:customStyle="1" w:styleId="30">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31">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32">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33">
    <w:name w:val="cf14"/>
    <w:basedOn w:val="1"/>
    <w:qFormat/>
    <w:uiPriority w:val="99"/>
    <w:pPr>
      <w:widowControl/>
      <w:spacing w:before="100" w:beforeAutospacing="1" w:after="100" w:afterAutospacing="1"/>
      <w:jc w:val="left"/>
    </w:pPr>
    <w:rPr>
      <w:rFonts w:ascii="宋体" w:hAnsi="宋体" w:cs="宋体"/>
      <w:kern w:val="0"/>
    </w:rPr>
  </w:style>
  <w:style w:type="paragraph" w:customStyle="1" w:styleId="34">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5">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6">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9">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nav"/>
    <w:basedOn w:val="1"/>
    <w:qFormat/>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41">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2">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5">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6">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7">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9">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50">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51">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53">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4">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5">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6">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57">
    <w:name w:val="newslist_black"/>
    <w:basedOn w:val="1"/>
    <w:qFormat/>
    <w:uiPriority w:val="99"/>
    <w:pPr>
      <w:widowControl/>
      <w:spacing w:before="100" w:beforeAutospacing="1" w:after="100" w:afterAutospacing="1" w:line="525" w:lineRule="atLeast"/>
      <w:jc w:val="center"/>
    </w:pPr>
    <w:rPr>
      <w:rFonts w:ascii="宋体" w:hAnsi="宋体" w:cs="宋体"/>
      <w:kern w:val="0"/>
    </w:rPr>
  </w:style>
  <w:style w:type="paragraph" w:customStyle="1" w:styleId="58">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5">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66">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7">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68">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9">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1">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2">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3">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4">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5">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6">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78">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9">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80">
    <w:name w:val="xl_con"/>
    <w:basedOn w:val="1"/>
    <w:qFormat/>
    <w:uiPriority w:val="99"/>
    <w:pPr>
      <w:widowControl/>
      <w:spacing w:before="100" w:beforeAutospacing="1" w:after="100" w:afterAutospacing="1" w:line="450" w:lineRule="atLeast"/>
      <w:jc w:val="left"/>
    </w:pPr>
    <w:rPr>
      <w:rFonts w:ascii="宋体" w:hAnsi="宋体" w:cs="宋体"/>
      <w:kern w:val="0"/>
    </w:rPr>
  </w:style>
  <w:style w:type="paragraph" w:customStyle="1" w:styleId="81">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82">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83">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5">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6">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returnto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dat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6">
    <w:name w:val="hj-easyread-speakerprocesser-position-action-icon"/>
    <w:basedOn w:val="15"/>
    <w:qFormat/>
    <w:uiPriority w:val="99"/>
    <w:rPr>
      <w:rFonts w:cs="Times New Roman"/>
    </w:rPr>
  </w:style>
  <w:style w:type="paragraph" w:customStyle="1" w:styleId="107">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search1"/>
    <w:basedOn w:val="1"/>
    <w:qFormat/>
    <w:uiPriority w:val="99"/>
    <w:pPr>
      <w:widowControl/>
      <w:spacing w:line="660" w:lineRule="atLeast"/>
      <w:jc w:val="left"/>
    </w:pPr>
    <w:rPr>
      <w:rFonts w:ascii="宋体" w:hAnsi="宋体" w:cs="宋体"/>
      <w:kern w:val="0"/>
      <w:sz w:val="24"/>
      <w:szCs w:val="24"/>
    </w:rPr>
  </w:style>
  <w:style w:type="paragraph" w:customStyle="1" w:styleId="110">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4">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17">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8">
    <w:name w:val="smooth-lf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w9801"/>
    <w:basedOn w:val="1"/>
    <w:qFormat/>
    <w:uiPriority w:val="99"/>
    <w:pPr>
      <w:widowControl/>
      <w:jc w:val="left"/>
    </w:pPr>
    <w:rPr>
      <w:rFonts w:ascii="宋体" w:hAnsi="宋体" w:cs="宋体"/>
      <w:kern w:val="0"/>
      <w:sz w:val="24"/>
      <w:szCs w:val="24"/>
    </w:rPr>
  </w:style>
  <w:style w:type="paragraph" w:customStyle="1" w:styleId="121">
    <w:name w:val="smooth-box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122">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character" w:customStyle="1" w:styleId="123">
    <w:name w:val="hj-easyread-speakerprocesser-position-action-icon1"/>
    <w:basedOn w:val="15"/>
    <w:qFormat/>
    <w:uiPriority w:val="99"/>
    <w:rPr>
      <w:rFonts w:cs="Times New Roman"/>
      <w:shd w:val="clear" w:color="auto" w:fill="auto"/>
    </w:rPr>
  </w:style>
  <w:style w:type="paragraph" w:customStyle="1" w:styleId="124">
    <w:name w:val="tipscontrol-btn1"/>
    <w:basedOn w:val="1"/>
    <w:qFormat/>
    <w:uiPriority w:val="99"/>
    <w:pPr>
      <w:widowControl/>
      <w:spacing w:before="100" w:beforeAutospacing="1" w:after="135" w:line="536853376" w:lineRule="auto"/>
      <w:jc w:val="left"/>
    </w:pPr>
    <w:rPr>
      <w:rFonts w:ascii="宋体" w:hAnsi="宋体" w:cs="宋体"/>
      <w:kern w:val="0"/>
      <w:sz w:val="2"/>
      <w:szCs w:val="2"/>
    </w:rPr>
  </w:style>
  <w:style w:type="paragraph" w:customStyle="1" w:styleId="125">
    <w:name w:val="returntotop-btn1"/>
    <w:basedOn w:val="1"/>
    <w:qFormat/>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6">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List Paragraph1"/>
    <w:basedOn w:val="1"/>
    <w:qFormat/>
    <w:uiPriority w:val="99"/>
    <w:pPr>
      <w:ind w:firstLine="420" w:firstLineChars="200"/>
    </w:pPr>
  </w:style>
  <w:style w:type="paragraph" w:customStyle="1" w:styleId="1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9">
    <w:name w:val="style68"/>
    <w:basedOn w:val="15"/>
    <w:qFormat/>
    <w:uiPriority w:val="99"/>
    <w:rPr>
      <w:rFonts w:cs="Times New Roman"/>
    </w:rPr>
  </w:style>
  <w:style w:type="paragraph" w:customStyle="1" w:styleId="130">
    <w:name w:val="Char"/>
    <w:basedOn w:val="1"/>
    <w:qFormat/>
    <w:uiPriority w:val="99"/>
    <w:rPr>
      <w:rFonts w:ascii="Times New Roman" w:hAnsi="Times New Roman" w:cs="Times New Roman"/>
      <w:szCs w:val="24"/>
    </w:rPr>
  </w:style>
  <w:style w:type="character" w:customStyle="1" w:styleId="131">
    <w:name w:val="批注框文本 Char"/>
    <w:basedOn w:val="15"/>
    <w:link w:val="10"/>
    <w:semiHidden/>
    <w:qFormat/>
    <w:locked/>
    <w:uiPriority w:val="99"/>
    <w:rPr>
      <w:rFonts w:cs="Calibri"/>
      <w:sz w:val="2"/>
    </w:rPr>
  </w:style>
  <w:style w:type="paragraph" w:customStyle="1" w:styleId="132">
    <w:name w:val="列出段落1"/>
    <w:basedOn w:val="1"/>
    <w:qFormat/>
    <w:uiPriority w:val="99"/>
    <w:pPr>
      <w:ind w:firstLine="420" w:firstLineChars="200"/>
    </w:pPr>
    <w:rPr>
      <w:rFonts w:cs="Times New Roman"/>
      <w:sz w:val="30"/>
      <w:szCs w:val="22"/>
    </w:rPr>
  </w:style>
  <w:style w:type="paragraph" w:customStyle="1" w:styleId="133">
    <w:name w:val="msonospacing"/>
    <w:basedOn w:val="1"/>
    <w:qFormat/>
    <w:uiPriority w:val="99"/>
    <w:pPr>
      <w:widowControl/>
    </w:pPr>
    <w:rPr>
      <w:rFonts w:ascii="Times New Roman" w:hAnsi="Times New Roman" w:cs="Times New Roman"/>
      <w:kern w:val="0"/>
    </w:rPr>
  </w:style>
  <w:style w:type="paragraph" w:customStyle="1" w:styleId="13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3791</Words>
  <Characters>4298</Characters>
  <Lines>32</Lines>
  <Paragraphs>9</Paragraphs>
  <TotalTime>59</TotalTime>
  <ScaleCrop>false</ScaleCrop>
  <LinksUpToDate>false</LinksUpToDate>
  <CharactersWithSpaces>4326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ASUS</dc:creator>
  <cp:lastModifiedBy>Asdet</cp:lastModifiedBy>
  <cp:lastPrinted>2025-09-16T03:13:29Z</cp:lastPrinted>
  <dcterms:modified xsi:type="dcterms:W3CDTF">2025-09-16T03:19:11Z</dcterms:modified>
  <dc:title>2014年度常德市社会劳动保险处</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30B5176805864AF682435BD28AAACBE4</vt:lpwstr>
  </property>
  <property fmtid="{D5CDD505-2E9C-101B-9397-08002B2CF9AE}" pid="4" name="KSOTemplateDocerSaveRecord">
    <vt:lpwstr>eyJoZGlkIjoiZTlhMjE0MjQ4ZDk3Mjg3NjM4NjEyNDIwZmQwN2MzMWUiLCJ1c2VySWQiOiI2MzkzMDIwMjcifQ==</vt:lpwstr>
  </property>
</Properties>
</file>