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2C70">
      <w:pPr>
        <w:widowControl/>
        <w:spacing w:line="596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</w:p>
    <w:p w14:paraId="2A1EE9FD">
      <w:pPr>
        <w:spacing w:line="596" w:lineRule="exact"/>
        <w:rPr>
          <w:rFonts w:hint="default" w:ascii="Times New Roman" w:hAnsi="Times New Roman" w:eastAsia="国标仿宋-GB/T 2312" w:cs="Times New Roman"/>
          <w:b/>
          <w:bCs/>
          <w:szCs w:val="32"/>
        </w:rPr>
      </w:pPr>
    </w:p>
    <w:p w14:paraId="60DDC140">
      <w:pPr>
        <w:spacing w:line="596" w:lineRule="exact"/>
        <w:jc w:val="center"/>
        <w:rPr>
          <w:rFonts w:hint="default" w:ascii="Times New Roman" w:hAnsi="Times New Roman" w:eastAsia="方正小标宋_GBK" w:cs="Times New Roman"/>
          <w:sz w:val="42"/>
          <w:szCs w:val="44"/>
        </w:rPr>
      </w:pPr>
      <w:bookmarkStart w:id="3" w:name="_GoBack"/>
      <w:r>
        <w:rPr>
          <w:rFonts w:hint="default" w:ascii="Times New Roman" w:hAnsi="Times New Roman" w:eastAsia="方正小标宋_GBK" w:cs="Times New Roman"/>
          <w:sz w:val="42"/>
          <w:szCs w:val="44"/>
        </w:rPr>
        <w:t>湖南省“机器管招投标”有限数量入围规则</w:t>
      </w:r>
    </w:p>
    <w:bookmarkEnd w:id="3"/>
    <w:p w14:paraId="07E31A98">
      <w:pPr>
        <w:spacing w:line="596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-20"/>
          <w:szCs w:val="32"/>
        </w:rPr>
      </w:pPr>
    </w:p>
    <w:p w14:paraId="3F5655B3">
      <w:pPr>
        <w:spacing w:line="596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20"/>
          <w:szCs w:val="32"/>
        </w:rPr>
        <w:t>（适用于“机器管招投标”交易系统中采用合理低价法的项目）</w:t>
      </w:r>
    </w:p>
    <w:p w14:paraId="72265896">
      <w:pPr>
        <w:spacing w:line="596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</w:p>
    <w:p w14:paraId="6649C942">
      <w:pPr>
        <w:spacing w:line="596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一、入围数量的确定</w:t>
      </w:r>
    </w:p>
    <w:p w14:paraId="059E50B6">
      <w:pPr>
        <w:spacing w:line="596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（一）确定入围基数</w:t>
      </w:r>
    </w:p>
    <w:p w14:paraId="76553514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系统将自动识别已提交有效投标担保保证的投标人数量,经评标委员会确认后作为有限数量入围的基数（N），未提交有效投标担保保证的投标人由评标委员会确认否决其投标。</w:t>
      </w:r>
    </w:p>
    <w:p w14:paraId="28425F3A">
      <w:pPr>
        <w:spacing w:line="596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（二）确定入围数量</w:t>
      </w:r>
    </w:p>
    <w:p w14:paraId="0E051354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入围数量（M）按照如下规则确定：</w:t>
      </w:r>
    </w:p>
    <w:p w14:paraId="6789700C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1.当N≤K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时，M=N；</w:t>
      </w:r>
    </w:p>
    <w:p w14:paraId="274EBD2F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2.当K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&lt;N≤K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+50时，M=K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+(N-K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)×K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；</w:t>
      </w:r>
    </w:p>
    <w:p w14:paraId="1058AB63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3.当K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+50&lt;N≤K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+100时，M=K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+50×K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+(N-K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-50)×K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；</w:t>
      </w:r>
    </w:p>
    <w:p w14:paraId="6858CA10">
      <w:pPr>
        <w:spacing w:line="596" w:lineRule="exact"/>
        <w:ind w:firstLine="620" w:firstLineChars="0"/>
        <w:rPr>
          <w:rFonts w:hint="default" w:ascii="Times New Roman" w:hAnsi="Times New Roman" w:eastAsia="仿宋_GB2312" w:cs="Times New Roman"/>
          <w:spacing w:val="-17"/>
          <w:szCs w:val="32"/>
        </w:rPr>
      </w:pPr>
      <w:r>
        <w:rPr>
          <w:rFonts w:hint="default" w:ascii="Times New Roman" w:hAnsi="Times New Roman" w:eastAsia="仿宋_GB2312" w:cs="Times New Roman"/>
          <w:spacing w:val="-17"/>
          <w:szCs w:val="32"/>
        </w:rPr>
        <w:t>4.当K</w:t>
      </w:r>
      <w:r>
        <w:rPr>
          <w:rFonts w:hint="default" w:ascii="Times New Roman" w:hAnsi="Times New Roman" w:eastAsia="仿宋_GB2312" w:cs="Times New Roman"/>
          <w:spacing w:val="-17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Cs w:val="32"/>
        </w:rPr>
        <w:t>+100&lt;N≤K</w:t>
      </w:r>
      <w:r>
        <w:rPr>
          <w:rFonts w:hint="default" w:ascii="Times New Roman" w:hAnsi="Times New Roman" w:eastAsia="仿宋_GB2312" w:cs="Times New Roman"/>
          <w:spacing w:val="-17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Cs w:val="32"/>
        </w:rPr>
        <w:t>+150时，M=K</w:t>
      </w:r>
      <w:r>
        <w:rPr>
          <w:rFonts w:hint="default" w:ascii="Times New Roman" w:hAnsi="Times New Roman" w:eastAsia="仿宋_GB2312" w:cs="Times New Roman"/>
          <w:spacing w:val="-17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Cs w:val="32"/>
        </w:rPr>
        <w:t>+50×K</w:t>
      </w:r>
      <w:r>
        <w:rPr>
          <w:rFonts w:hint="default" w:ascii="Times New Roman" w:hAnsi="Times New Roman" w:eastAsia="仿宋_GB2312" w:cs="Times New Roman"/>
          <w:spacing w:val="-17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pacing w:val="-17"/>
          <w:szCs w:val="32"/>
        </w:rPr>
        <w:t>+50×K</w:t>
      </w:r>
      <w:r>
        <w:rPr>
          <w:rFonts w:hint="default" w:ascii="Times New Roman" w:hAnsi="Times New Roman" w:eastAsia="仿宋_GB2312" w:cs="Times New Roman"/>
          <w:spacing w:val="-17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-17"/>
          <w:szCs w:val="32"/>
        </w:rPr>
        <w:t>+(N-K</w:t>
      </w:r>
      <w:r>
        <w:rPr>
          <w:rFonts w:hint="default" w:ascii="Times New Roman" w:hAnsi="Times New Roman" w:eastAsia="仿宋_GB2312" w:cs="Times New Roman"/>
          <w:spacing w:val="-17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Cs w:val="32"/>
        </w:rPr>
        <w:t>-100)×K</w:t>
      </w:r>
      <w:r>
        <w:rPr>
          <w:rFonts w:hint="default" w:ascii="Times New Roman" w:hAnsi="Times New Roman" w:eastAsia="仿宋_GB2312" w:cs="Times New Roman"/>
          <w:spacing w:val="-17"/>
          <w:szCs w:val="32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spacing w:val="-17"/>
          <w:szCs w:val="32"/>
        </w:rPr>
        <w:t>；</w:t>
      </w:r>
    </w:p>
    <w:p w14:paraId="0690F434">
      <w:pPr>
        <w:spacing w:line="596" w:lineRule="exact"/>
        <w:ind w:firstLine="620" w:firstLineChars="0"/>
        <w:rPr>
          <w:rFonts w:hint="default" w:ascii="Times New Roman" w:hAnsi="Times New Roman" w:eastAsia="仿宋_GB2312" w:cs="Times New Roman"/>
          <w:spacing w:val="-28"/>
          <w:szCs w:val="32"/>
        </w:rPr>
      </w:pPr>
      <w:r>
        <w:rPr>
          <w:rFonts w:hint="default" w:ascii="Times New Roman" w:hAnsi="Times New Roman" w:eastAsia="仿宋_GB2312" w:cs="Times New Roman"/>
          <w:spacing w:val="-28"/>
          <w:szCs w:val="32"/>
        </w:rPr>
        <w:t>5.当K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+150&lt;N≤K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+200时，M=K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+50×K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+50×K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+50×K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+(N-K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-150)×K</w:t>
      </w:r>
      <w:r>
        <w:rPr>
          <w:rFonts w:hint="default" w:ascii="Times New Roman" w:hAnsi="Times New Roman" w:eastAsia="仿宋_GB2312" w:cs="Times New Roman"/>
          <w:spacing w:val="-28"/>
          <w:szCs w:val="32"/>
          <w:vertAlign w:val="subscript"/>
        </w:rPr>
        <w:t>4</w:t>
      </w:r>
      <w:r>
        <w:rPr>
          <w:rFonts w:hint="default" w:ascii="Times New Roman" w:hAnsi="Times New Roman" w:eastAsia="仿宋_GB2312" w:cs="Times New Roman"/>
          <w:spacing w:val="-28"/>
          <w:szCs w:val="32"/>
        </w:rPr>
        <w:t>；</w:t>
      </w:r>
    </w:p>
    <w:p w14:paraId="7CE6AEB9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6.当N&gt;K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+200时，M=70；M为非整数时，按四舍五入原则取整；</w:t>
      </w:r>
    </w:p>
    <w:p w14:paraId="0560B91E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7.初始入围数量K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=35；</w:t>
      </w:r>
      <w:bookmarkStart w:id="0" w:name="OLE_LINK1"/>
      <w:r>
        <w:rPr>
          <w:rFonts w:hint="default" w:ascii="Times New Roman" w:hAnsi="Times New Roman" w:eastAsia="仿宋_GB2312" w:cs="Times New Roman"/>
          <w:szCs w:val="32"/>
        </w:rPr>
        <w:t>入围比例系数</w:t>
      </w:r>
      <w:bookmarkEnd w:id="0"/>
      <w:r>
        <w:rPr>
          <w:rFonts w:hint="default" w:ascii="Times New Roman" w:hAnsi="Times New Roman" w:eastAsia="仿宋_GB2312" w:cs="Times New Roman"/>
          <w:szCs w:val="32"/>
        </w:rPr>
        <w:t>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=30%，K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=20%，K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szCs w:val="32"/>
        </w:rPr>
        <w:t>=10%，K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4</w:t>
      </w:r>
      <w:r>
        <w:rPr>
          <w:rFonts w:hint="default" w:ascii="Times New Roman" w:hAnsi="Times New Roman" w:eastAsia="仿宋_GB2312" w:cs="Times New Roman"/>
          <w:szCs w:val="32"/>
        </w:rPr>
        <w:t>=10%。</w:t>
      </w:r>
    </w:p>
    <w:p w14:paraId="4E609ED5">
      <w:pPr>
        <w:spacing w:line="596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二、入围流程及规则</w:t>
      </w:r>
    </w:p>
    <w:p w14:paraId="7E79B80D">
      <w:pPr>
        <w:spacing w:line="596" w:lineRule="exact"/>
        <w:ind w:firstLine="643" w:firstLineChars="200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（一）第一轮筛选（确定入围数量M×P</w:t>
      </w:r>
      <w:r>
        <w:rPr>
          <w:rFonts w:hint="default" w:ascii="Times New Roman" w:hAnsi="Times New Roman" w:eastAsia="仿宋_GB2312" w:cs="Times New Roman"/>
          <w:b/>
          <w:bCs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的名单，四舍五入）</w:t>
      </w:r>
    </w:p>
    <w:p w14:paraId="7BF7CEE6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1.将入围名单中的投标人按投标价格从低到高排序，确定四分位点和中位点为基点并分别选取附近投标人，具体规则如下：</w:t>
      </w:r>
    </w:p>
    <w:p w14:paraId="68D96227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（1）以中位点（位置为1/2×(N+1)，向下取整）为基点，选取该位置附近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P</w:t>
      </w:r>
      <w:r>
        <w:rPr>
          <w:rFonts w:hint="default" w:ascii="Times New Roman" w:hAnsi="Times New Roman" w:eastAsia="仿宋_GB2312" w:cs="Times New Roman"/>
          <w:b/>
          <w:bCs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/2×M的投标人（向上取整）；</w:t>
      </w:r>
    </w:p>
    <w:p w14:paraId="7D287765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（1）以下四分位点（即25%分位值，位置为1/4×(N+1)，向下取整）为基点，选取该位置附近剩余的投标人。</w:t>
      </w:r>
    </w:p>
    <w:p w14:paraId="60F1BFA5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2.筛选规则说明：若中位点或下四分位点处投标人数量为奇数，则在该基点两侧均匀选取相同数量的投标人；若为偶数，则价格较低一侧较价格较高一侧多选取一名投标人。</w:t>
      </w:r>
    </w:p>
    <w:p w14:paraId="3484B26D">
      <w:pPr>
        <w:spacing w:line="596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（二）第二轮筛选（确定入围数量M×P</w:t>
      </w:r>
      <w:r>
        <w:rPr>
          <w:rFonts w:hint="default" w:ascii="Times New Roman" w:hAnsi="Times New Roman" w:eastAsia="仿宋_GB2312" w:cs="Times New Roman"/>
          <w:b/>
          <w:bCs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的投标人名单，四舍五入）</w:t>
      </w:r>
    </w:p>
    <w:p w14:paraId="1043629F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1.按第一轮筛选后剩余企业信用得分从高到低排序，取前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P</w:t>
      </w:r>
      <w:r>
        <w:rPr>
          <w:rFonts w:hint="default" w:ascii="Times New Roman" w:hAnsi="Times New Roman" w:eastAsia="仿宋_GB2312" w:cs="Times New Roman"/>
          <w:b/>
          <w:bCs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×M的投标人；</w:t>
      </w:r>
    </w:p>
    <w:p w14:paraId="56104A3F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2.若信用得分末位相同，则按“人员、设备、资源调度效能及经验”得分（业绩匹配度不计入评审，下同）从高到低排序确定；</w:t>
      </w:r>
    </w:p>
    <w:p w14:paraId="3BA413B0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3.若上述得分仍相同，按投标人报价由低到高排序确定；</w:t>
      </w:r>
    </w:p>
    <w:p w14:paraId="4EECAACB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4.若报价仍相同，由系统随机确定入围名单。</w:t>
      </w:r>
    </w:p>
    <w:p w14:paraId="457158EA">
      <w:pPr>
        <w:spacing w:line="596" w:lineRule="exact"/>
        <w:ind w:firstLine="643" w:firstLineChars="200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（三）第三轮筛选（确定剩余入围名单）</w:t>
      </w:r>
    </w:p>
    <w:p w14:paraId="00D2A3D8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</w:t>
      </w:r>
      <w:bookmarkStart w:id="1" w:name="OLE_LINK4"/>
      <w:r>
        <w:rPr>
          <w:rFonts w:hint="default" w:ascii="Times New Roman" w:hAnsi="Times New Roman" w:eastAsia="仿宋_GB2312" w:cs="Times New Roman"/>
          <w:szCs w:val="32"/>
        </w:rPr>
        <w:t>剩余入围数量基数为：（1）计算经过前两轮筛选后剩余的投标人总数（N-M×(P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+P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)）；（2）将上述剩余投标人按企业信用得分从高到低排序，取前六倍剩余入围数量（6×M×(1-P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-P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)）；（3）取前两者中的较小值。</w:t>
      </w:r>
    </w:p>
    <w:bookmarkEnd w:id="1"/>
    <w:p w14:paraId="67A28680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2.按“人员、设备、资源调度效能及经验”得分从高到低排序，确定剩余入围名单；</w:t>
      </w:r>
    </w:p>
    <w:p w14:paraId="7C1C0907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3.若上述得分末位相同，按投标人报价由低到高排序确定；</w:t>
      </w:r>
    </w:p>
    <w:p w14:paraId="56B200AA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4.若报价仍相同，由系统随机确定入围名单。</w:t>
      </w:r>
    </w:p>
    <w:p w14:paraId="736E3319">
      <w:pPr>
        <w:spacing w:line="596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三、相关参数说明</w:t>
      </w:r>
    </w:p>
    <w:p w14:paraId="56639ED1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bookmarkStart w:id="2" w:name="OLE_LINK3"/>
      <w:r>
        <w:rPr>
          <w:rFonts w:hint="default" w:ascii="Times New Roman" w:hAnsi="Times New Roman" w:eastAsia="仿宋_GB2312" w:cs="Times New Roman"/>
          <w:szCs w:val="32"/>
        </w:rPr>
        <w:t>以上入围规则中涉及的参数说明如下：</w:t>
      </w:r>
    </w:p>
    <w:p w14:paraId="4B30624F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N：提交有效担保保证的投标人数量；</w:t>
      </w:r>
    </w:p>
    <w:p w14:paraId="0BDD59A0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M：入围到初步评审的投标人数量；</w:t>
      </w:r>
    </w:p>
    <w:p w14:paraId="2683C510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Cs w:val="32"/>
        </w:rPr>
        <w:t>：初始入围数量基准值，当有效投标人数量（N）小于或等于此值时，所有投标人自动入围,当前取值为35；</w:t>
      </w:r>
    </w:p>
    <w:p w14:paraId="5FF2C7F5">
      <w:pPr>
        <w:spacing w:line="596" w:lineRule="exact"/>
        <w:ind w:firstLine="640" w:firstLineChars="200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1、</w:t>
      </w:r>
      <w:r>
        <w:rPr>
          <w:rFonts w:hint="default" w:ascii="Times New Roman" w:hAnsi="Times New Roman" w:eastAsia="仿宋_GB2312" w:cs="Times New Roman"/>
          <w:szCs w:val="32"/>
        </w:rPr>
        <w:t>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2、</w:t>
      </w:r>
      <w:r>
        <w:rPr>
          <w:rFonts w:hint="default" w:ascii="Times New Roman" w:hAnsi="Times New Roman" w:eastAsia="仿宋_GB2312" w:cs="Times New Roman"/>
          <w:szCs w:val="32"/>
        </w:rPr>
        <w:t>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3、</w:t>
      </w:r>
      <w:r>
        <w:rPr>
          <w:rFonts w:hint="default" w:ascii="Times New Roman" w:hAnsi="Times New Roman" w:eastAsia="仿宋_GB2312" w:cs="Times New Roman"/>
          <w:szCs w:val="32"/>
        </w:rPr>
        <w:t>K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4</w:t>
      </w:r>
      <w:r>
        <w:rPr>
          <w:rFonts w:hint="default" w:ascii="Times New Roman" w:hAnsi="Times New Roman" w:eastAsia="仿宋_GB2312" w:cs="Times New Roman"/>
          <w:szCs w:val="32"/>
        </w:rPr>
        <w:t>：入围比例系数，入围比例系数，用于计算当有效投标人数量（N）超过基准值（Kc）时的具体入围数量（M）</w:t>
      </w:r>
      <w:r>
        <w:rPr>
          <w:rFonts w:hint="eastAsia" w:eastAsia="仿宋_GB2312" w:cs="Times New Roman"/>
          <w:szCs w:val="32"/>
          <w:lang w:eastAsia="zh-CN"/>
        </w:rPr>
        <w:t>；</w:t>
      </w:r>
    </w:p>
    <w:p w14:paraId="61689820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P₁：第一轮筛选比例，当前取值为10%；</w:t>
      </w:r>
    </w:p>
    <w:p w14:paraId="4A1167FE">
      <w:pPr>
        <w:spacing w:line="596" w:lineRule="exact"/>
        <w:ind w:firstLine="640" w:firstLineChars="200"/>
        <w:rPr>
          <w:rFonts w:hint="default" w:eastAsia="宋体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P₂：第二轮筛选比例，当前取值为45%</w:t>
      </w:r>
      <w:bookmarkEnd w:id="2"/>
      <w:r>
        <w:rPr>
          <w:rFonts w:hint="default" w:ascii="Times New Roman" w:hAnsi="Times New Roman" w:eastAsia="仿宋_GB2312" w:cs="Times New Roman"/>
          <w:szCs w:val="32"/>
        </w:rPr>
        <w:t>。</w:t>
      </w:r>
    </w:p>
    <w:p w14:paraId="6F4204BF">
      <w:pPr>
        <w:spacing w:line="20" w:lineRule="exact"/>
        <w:ind w:left="3362" w:firstLine="42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0DE581"/>
    <w:sectPr>
      <w:footerReference r:id="rId3" w:type="default"/>
      <w:footerReference r:id="rId4" w:type="even"/>
      <w:pgSz w:w="11906" w:h="16838"/>
      <w:pgMar w:top="1871" w:right="1531" w:bottom="1531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E937C-DB73-4227-AFC0-7A07E821E8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996A86-596F-496C-B9F9-B065E6A53875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39DF13-E146-4AEE-AA11-76E1832CF83A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9988786-0432-4E52-8106-D47BDF6A82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41EADC5-38D1-4718-836E-F9F29990A79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B028">
    <w:pPr>
      <w:pStyle w:val="2"/>
      <w:wordWrap w:val="0"/>
      <w:ind w:left="320" w:leftChars="100"/>
      <w:jc w:val="right"/>
      <w:rPr>
        <w:rFonts w:hint="default"/>
        <w:lang w:val="en-US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42F85">
    <w:pPr>
      <w:pStyle w:val="2"/>
      <w:ind w:left="320" w:leftChars="10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7C17"/>
    <w:rsid w:val="31F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2025-12-17T03:12:00Z</dcterms:created>
  <dc:creator>水煮鱼</dc:creator>
  <cp:lastModifiedBy>水煮鱼</cp:lastModifiedBy>
  <dcterms:modified xsi:type="dcterms:W3CDTF">2025-12-17T03:13:07Z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4FD8467725EC49428A452F3B702EBB91_11</vt:lpwstr>
  </property>
  <property fmtid="{D5CDD505-2E9C-101B-9397-08002B2CF9AE}" pid="4" name="KSOTemplateDocerSaveRecord">
    <vt:lpwstr>eyJoZGlkIjoiNmNkZDFhNGVkYmIwZjE2Mjg4YzFmMWNlNzM0YTM5YjciLCJ1c2VySWQiOiI0MjkxMDA1MTMifQ==</vt:lpwstr>
  </property>
</Properties>
</file>