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72"/>
          <w:szCs w:val="72"/>
        </w:rPr>
      </w:pPr>
      <w:r>
        <w:rPr>
          <w:rFonts w:hint="eastAsia"/>
          <w:sz w:val="72"/>
          <w:szCs w:val="72"/>
        </w:rPr>
        <w:t>2019年度</w:t>
      </w:r>
    </w:p>
    <w:p>
      <w:pPr>
        <w:pStyle w:val="10"/>
        <w:jc w:val="center"/>
        <w:rPr>
          <w:rFonts w:hint="eastAsia"/>
          <w:sz w:val="72"/>
          <w:szCs w:val="72"/>
        </w:rPr>
      </w:pPr>
      <w:r>
        <w:rPr>
          <w:rFonts w:hint="eastAsia"/>
          <w:sz w:val="72"/>
          <w:szCs w:val="72"/>
        </w:rPr>
        <w:t>常德市人民政府办公室</w:t>
      </w:r>
    </w:p>
    <w:p>
      <w:pPr>
        <w:pStyle w:val="10"/>
        <w:jc w:val="center"/>
        <w:rPr>
          <w:sz w:val="72"/>
          <w:szCs w:val="72"/>
        </w:rPr>
      </w:pPr>
      <w:r>
        <w:rPr>
          <w:rFonts w:hint="eastAsia"/>
          <w:sz w:val="72"/>
          <w:szCs w:val="72"/>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outlineLvl w:val="0"/>
        <w:rPr>
          <w:rFonts w:ascii="仿宋_GB2312" w:hAnsi="仿宋_GB2312" w:cs="仿宋_GB2312"/>
          <w:b/>
          <w:sz w:val="28"/>
          <w:szCs w:val="28"/>
        </w:rPr>
      </w:pPr>
      <w:r>
        <w:rPr>
          <w:rFonts w:hint="eastAsia"/>
          <w:b/>
          <w:sz w:val="28"/>
          <w:szCs w:val="28"/>
        </w:rPr>
        <w:t>第一部分 单位概况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outlineLvl w:val="0"/>
        <w:rPr>
          <w:rFonts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outlineLvl w:val="0"/>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outlineLvl w:val="0"/>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rPr>
        <w:t xml:space="preserve"> </w:t>
      </w:r>
      <w:r>
        <w:rPr>
          <w:rFonts w:ascii="黑体" w:hAnsi="黑体" w:eastAsia="黑体" w:cs="黑体"/>
          <w:b/>
          <w:color w:val="000000"/>
          <w:kern w:val="0"/>
          <w:sz w:val="28"/>
          <w:szCs w:val="28"/>
        </w:rPr>
        <w:t>名词解释</w:t>
      </w:r>
    </w:p>
    <w:p>
      <w:pPr>
        <w:spacing w:line="520" w:lineRule="exact"/>
        <w:jc w:val="left"/>
        <w:outlineLvl w:val="0"/>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w:t>
      </w:r>
      <w:r>
        <w:rPr>
          <w:rFonts w:hint="eastAsia" w:ascii="黑体" w:hAnsi="黑体" w:eastAsia="黑体" w:cs="黑体"/>
          <w:b/>
          <w:color w:val="000000"/>
          <w:kern w:val="0"/>
          <w:sz w:val="28"/>
          <w:szCs w:val="28"/>
        </w:rPr>
        <w:t xml:space="preserve"> </w:t>
      </w:r>
      <w:r>
        <w:rPr>
          <w:rFonts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72"/>
          <w:szCs w:val="72"/>
        </w:rPr>
      </w:pPr>
      <w:r>
        <w:rPr>
          <w:rFonts w:hint="eastAsia"/>
          <w:sz w:val="72"/>
          <w:szCs w:val="72"/>
        </w:rPr>
        <w:t>第一部分</w:t>
      </w:r>
      <w:r>
        <w:rPr>
          <w:sz w:val="72"/>
          <w:szCs w:val="72"/>
        </w:rPr>
        <w:t xml:space="preserve"> </w:t>
      </w:r>
    </w:p>
    <w:p>
      <w:pPr>
        <w:pStyle w:val="10"/>
        <w:jc w:val="center"/>
        <w:rPr>
          <w:sz w:val="72"/>
          <w:szCs w:val="72"/>
        </w:rPr>
      </w:pPr>
    </w:p>
    <w:p>
      <w:pPr>
        <w:pStyle w:val="10"/>
        <w:jc w:val="center"/>
        <w:outlineLvl w:val="0"/>
        <w:rPr>
          <w:sz w:val="72"/>
          <w:szCs w:val="72"/>
        </w:rPr>
      </w:pPr>
      <w:r>
        <w:rPr>
          <w:rFonts w:hint="eastAsia"/>
          <w:sz w:val="72"/>
          <w:szCs w:val="72"/>
        </w:rPr>
        <w:t>单位概况</w:t>
      </w:r>
    </w:p>
    <w:p>
      <w:pPr>
        <w:jc w:val="center"/>
        <w:rPr>
          <w:sz w:val="72"/>
          <w:szCs w:val="72"/>
        </w:rPr>
      </w:pPr>
    </w:p>
    <w:p>
      <w:pPr>
        <w:jc w:val="both"/>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常德市人民政府办公室（简称市政府办）是市政府工作部门，为正处级。主要职责是：　</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（一）协助市人民政府领导同志指导、协调、督促、检查市人民政府部门工作。</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（二）协助市人民政府领导同志组织起草或审核以市人民政府、市人民政府办公室名义发布的公文。</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（三）研究市人民政府各部门和各区县（市）人民政府请示市人民政府的事项，提出审核意见，或对市人民政府部门间的分歧事项提出处理意见，报市人民政府领导同志审批、决定。</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（四）负责市人民政府会议和重大活动的组织和服务工作，协助市人民政府领导同志组织实施会议决定事项。</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（五）负责市人民政府值班工作，及时报告重要情况，传达和督促落实市人民政府领导同志指示。</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（六）督促检查市人民政府各部门和各区县（市）人民政府对市人民政府决定事项及市人民政府领导同志有关指示的贯彻落实情况，及时向市人民政府领导同志报告。</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（七）负责省市重点民生实事工作的指导、督促、协调、考核。</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（八）负责受理、处理市民对市人民政府及市人民政府工作部门和区县（市）人民政府的批评、意见和建议。</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九）负责全市公共资源交易的组织、指导、协调；牵头组织行政监督部门拟订公共资源交易规范性文件；负责监督公共资源交易平台管理服务情况，对行政监督部门有关监督执法活动实施再监督；承担市公共资源交易管理委员会日常工作。</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（十）负责推进全市优化营商环境工作，指导区县（市）人民政府相关工作。</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（十一）组织办理人大代表建议、政协委员提案；督促检查市人民政府各部门贯彻落实市人大常委会决定、决议的情况。</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（十二）负责市人民政府机关大院的行政事务、综合治理、安全保卫和有关接待工作。</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（十三）完成市委、市人民政府交办的其他事项。</w:t>
      </w:r>
    </w:p>
    <w:p>
      <w:pPr>
        <w:pStyle w:val="5"/>
        <w:widowControl/>
        <w:shd w:val="clear" w:color="auto" w:fill="FFFFFF"/>
        <w:spacing w:beforeAutospacing="0" w:afterAutospacing="0" w:line="600" w:lineRule="atLeast"/>
        <w:ind w:firstLine="645"/>
        <w:jc w:val="both"/>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常德市人民政府研究室（简称市政府研究室）是市政府工作部门，为正处级。主要职责是：</w:t>
      </w:r>
    </w:p>
    <w:p>
      <w:pPr>
        <w:pStyle w:val="5"/>
        <w:widowControl/>
        <w:shd w:val="clear" w:color="auto" w:fill="FFFFFF"/>
        <w:spacing w:beforeAutospacing="0" w:afterAutospacing="0" w:line="450" w:lineRule="atLeast"/>
        <w:ind w:firstLine="645"/>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（一）负责《政府工作报告》和市政府市长、常务副市长的重要报告、讲话和文章的起草及政府有关新闻稿的审定。</w:t>
      </w:r>
    </w:p>
    <w:p>
      <w:pPr>
        <w:pStyle w:val="5"/>
        <w:widowControl/>
        <w:shd w:val="clear" w:color="auto" w:fill="FFFFFF"/>
        <w:spacing w:beforeAutospacing="0" w:afterAutospacing="0" w:line="450" w:lineRule="atLeast"/>
        <w:ind w:firstLine="645"/>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（二）负责起草市政府重要汇报材料；协同组织起草、修改市政府的有关重要综合性文件；参与起草市委、市政府有关重要会议的文件。</w:t>
      </w:r>
    </w:p>
    <w:p>
      <w:pPr>
        <w:pStyle w:val="5"/>
        <w:widowControl/>
        <w:shd w:val="clear" w:color="auto" w:fill="FFFFFF"/>
        <w:spacing w:beforeAutospacing="0" w:afterAutospacing="0" w:line="450" w:lineRule="atLeast"/>
        <w:ind w:firstLine="645"/>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（三）对涉及全市经济建设、社会发展和改革开放等全局性重大课题牵头组织调查研究，及时综合归纳，提出供市政府决策的参考方案和政策性建议。</w:t>
      </w:r>
    </w:p>
    <w:p>
      <w:pPr>
        <w:pStyle w:val="5"/>
        <w:widowControl/>
        <w:shd w:val="clear" w:color="auto" w:fill="FFFFFF"/>
        <w:spacing w:beforeAutospacing="0" w:afterAutospacing="0" w:line="450" w:lineRule="atLeast"/>
        <w:ind w:firstLine="645"/>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（四）对市内外经济形势和社会发展政策进行分析和研究，提出政策建议；收集、分析、整理和报送经济社会发展的重要信息、动态，为市政府决策提供参考建议；编发《常德市人民政府公报》和有关内部刊物。</w:t>
      </w:r>
    </w:p>
    <w:p>
      <w:pPr>
        <w:pStyle w:val="5"/>
        <w:widowControl/>
        <w:shd w:val="clear" w:color="auto" w:fill="FFFFFF"/>
        <w:spacing w:beforeAutospacing="0" w:afterAutospacing="0" w:line="450" w:lineRule="atLeast"/>
        <w:ind w:firstLine="645"/>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（五）组织有关专家对全市经济社会发展的重大问题、重大决策、重大项目等进行研究论证，提供咨询服务。</w:t>
      </w:r>
    </w:p>
    <w:p>
      <w:pPr>
        <w:pStyle w:val="5"/>
        <w:widowControl/>
        <w:shd w:val="clear" w:color="auto" w:fill="FFFFFF"/>
        <w:spacing w:beforeAutospacing="0" w:afterAutospacing="0" w:line="450" w:lineRule="atLeast"/>
        <w:ind w:firstLine="645"/>
        <w:rPr>
          <w:rFonts w:ascii="仿宋" w:hAnsi="仿宋" w:eastAsia="仿宋" w:cs="仿宋"/>
          <w:color w:val="333333"/>
          <w:sz w:val="32"/>
          <w:szCs w:val="32"/>
        </w:rPr>
      </w:pPr>
      <w:r>
        <w:rPr>
          <w:rFonts w:hint="eastAsia" w:ascii="仿宋" w:hAnsi="仿宋" w:eastAsia="仿宋" w:cs="仿宋"/>
          <w:color w:val="000000"/>
          <w:sz w:val="32"/>
          <w:szCs w:val="32"/>
          <w:shd w:val="clear" w:color="auto" w:fill="FFFFFF"/>
        </w:rPr>
        <w:t>（六）指导全市政府系统情况综合、调查研究工作。</w:t>
      </w:r>
    </w:p>
    <w:p>
      <w:pPr>
        <w:pStyle w:val="5"/>
        <w:widowControl/>
        <w:shd w:val="clear" w:color="auto" w:fill="FFFFFF"/>
        <w:spacing w:beforeAutospacing="0" w:afterAutospacing="0" w:line="450" w:lineRule="atLeast"/>
        <w:ind w:firstLine="645"/>
        <w:rPr>
          <w:rFonts w:ascii="仿宋" w:hAnsi="仿宋" w:eastAsia="仿宋" w:cs="仿宋"/>
          <w:sz w:val="32"/>
          <w:szCs w:val="32"/>
        </w:rPr>
      </w:pPr>
      <w:r>
        <w:rPr>
          <w:rFonts w:hint="eastAsia" w:ascii="仿宋" w:hAnsi="仿宋" w:eastAsia="仿宋" w:cs="仿宋"/>
          <w:color w:val="000000"/>
          <w:sz w:val="32"/>
          <w:szCs w:val="32"/>
          <w:shd w:val="clear" w:color="auto" w:fill="FFFFFF"/>
        </w:rPr>
        <w:t>（七）完成市委、市政府交办的其他事项。</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widowControl/>
        <w:shd w:val="clear" w:color="auto" w:fill="FFFFFF"/>
        <w:spacing w:beforeAutospacing="0" w:afterAutospacing="0" w:line="600" w:lineRule="atLeast"/>
        <w:ind w:firstLine="645"/>
        <w:rPr>
          <w:rFonts w:ascii="仿宋" w:hAnsi="仿宋" w:eastAsia="仿宋" w:cs="仿宋"/>
          <w:color w:val="333333"/>
          <w:sz w:val="32"/>
          <w:szCs w:val="32"/>
        </w:rPr>
      </w:pPr>
      <w:r>
        <w:rPr>
          <w:rFonts w:hint="eastAsia" w:ascii="仿宋" w:hAnsi="仿宋" w:eastAsia="仿宋" w:cs="仿宋"/>
          <w:bCs/>
          <w:sz w:val="32"/>
          <w:szCs w:val="32"/>
        </w:rPr>
        <w:t>（一）内设机构设置。</w:t>
      </w:r>
      <w:r>
        <w:rPr>
          <w:rFonts w:hint="eastAsia" w:ascii="仿宋" w:hAnsi="仿宋" w:eastAsia="仿宋" w:cs="仿宋"/>
          <w:color w:val="000000"/>
          <w:sz w:val="32"/>
          <w:szCs w:val="32"/>
          <w:shd w:val="clear" w:color="auto" w:fill="FFFFFF"/>
        </w:rPr>
        <w:t>根据上述职能，市政府办设内设机构22个，分别是值班室、秘书一科、秘书二科、秘书三科、秘书四科、秘书五科、秘书六科、秘书七科、秘书八科、综合科、督查室、政务信息科、法制科、人事科、财务科、建议提案办理科、市长热线办、公共资源交易管理科、优化经济发展环境科、信息技术科、保卫科、机关事务科；除上述内设机构外，还设有离退休人员管理科、机关党委、车队。另有市社会求助服务中心、市政府机关后勤服务中心2家所属事业单位。</w:t>
      </w:r>
    </w:p>
    <w:p>
      <w:pPr>
        <w:pStyle w:val="5"/>
        <w:widowControl/>
        <w:shd w:val="clear" w:color="auto" w:fill="FFFFFF"/>
        <w:spacing w:beforeAutospacing="0" w:afterAutospacing="0" w:line="600" w:lineRule="atLeast"/>
        <w:ind w:firstLine="645"/>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根据上述职能，市政府研究室设内设机构4个，分别是综合科、研究一科、研究二科、研究三科。</w:t>
      </w:r>
    </w:p>
    <w:p>
      <w:pPr>
        <w:widowControl/>
        <w:spacing w:line="600" w:lineRule="exact"/>
        <w:rPr>
          <w:rFonts w:ascii="仿宋" w:hAnsi="仿宋" w:eastAsia="仿宋" w:cs="仿宋"/>
          <w:bCs/>
          <w:kern w:val="0"/>
          <w:sz w:val="32"/>
          <w:szCs w:val="32"/>
        </w:rPr>
      </w:pPr>
      <w:r>
        <w:rPr>
          <w:rFonts w:hint="eastAsia" w:ascii="仿宋" w:hAnsi="仿宋" w:eastAsia="仿宋" w:cs="仿宋"/>
          <w:bCs/>
          <w:kern w:val="0"/>
          <w:sz w:val="32"/>
          <w:szCs w:val="32"/>
        </w:rPr>
        <w:t>（二）决算单位构成。常德市人民政府办公室2019年部门决算汇总公开单位构成包括：常德市人民政府办公室本级（含常德市人民政府研究室）以及常德市市直机关公务用车服务管理中心。</w:t>
      </w:r>
    </w:p>
    <w:p>
      <w:pPr>
        <w:jc w:val="left"/>
        <w:rPr>
          <w:rFonts w:ascii="仿宋" w:hAnsi="仿宋" w:eastAsia="仿宋" w:cs="仿宋"/>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rPr>
        <w:t>第二部分</w:t>
      </w:r>
    </w:p>
    <w:p>
      <w:pPr>
        <w:jc w:val="center"/>
        <w:rPr>
          <w:rFonts w:hint="eastAsia" w:ascii="黑体" w:hAnsi="黑体" w:eastAsia="黑体" w:cs="黑体"/>
          <w:sz w:val="72"/>
          <w:szCs w:val="72"/>
        </w:rPr>
      </w:pPr>
    </w:p>
    <w:p>
      <w:pPr>
        <w:jc w:val="center"/>
        <w:outlineLvl w:val="0"/>
        <w:rPr>
          <w:rFonts w:hint="eastAsia" w:ascii="黑体" w:hAnsi="黑体" w:eastAsia="黑体" w:cs="黑体"/>
          <w:sz w:val="84"/>
          <w:szCs w:val="84"/>
        </w:rPr>
      </w:pPr>
      <w:r>
        <w:rPr>
          <w:rFonts w:hint="eastAsia" w:ascii="黑体" w:hAnsi="黑体" w:eastAsia="黑体" w:cs="黑体"/>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outlineLvl w:val="0"/>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部门：常德市人民政府办公室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6"/>
        <w:tblW w:w="14061" w:type="dxa"/>
        <w:jc w:val="center"/>
        <w:tblLayout w:type="fixed"/>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4755.43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3</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4128.00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4</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八、社会保障和就业支出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715.57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十二、农林水支出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十三、交通运输支出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　</w:t>
            </w:r>
          </w:p>
        </w:tc>
      </w:tr>
      <w:tr>
        <w:tblPrEx>
          <w:tblCellMar>
            <w:top w:w="0" w:type="dxa"/>
            <w:left w:w="108" w:type="dxa"/>
            <w:bottom w:w="0" w:type="dxa"/>
            <w:right w:w="108" w:type="dxa"/>
          </w:tblCellMar>
        </w:tblPrEx>
        <w:trPr>
          <w:trHeight w:val="325"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十四、资源勘探信息等支出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十五、商业服务业等支出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Times New Roman" w:hAnsi="Times New Roman" w:eastAsia="仿宋_GB2312" w:cs="Times New Roman"/>
                <w:kern w:val="0"/>
                <w:szCs w:val="21"/>
              </w:rPr>
              <w:t>十九、住房保障支出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186.44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224"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二十一、灾害防治及应急管理支出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Times New Roman" w:hAnsi="Times New Roman" w:eastAsia="仿宋_GB2312" w:cs="Times New Roman"/>
                <w:kern w:val="0"/>
                <w:szCs w:val="21"/>
              </w:rPr>
              <w:t>二十二、其他支出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b/>
                <w:bCs/>
                <w:kern w:val="0"/>
                <w:szCs w:val="21"/>
              </w:rPr>
              <w:t>4755.43</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4</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5107.00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5</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0</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860.55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6</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508.98</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7</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b/>
                <w:bCs/>
                <w:kern w:val="0"/>
                <w:szCs w:val="21"/>
              </w:rPr>
              <w:t>5615.98</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8</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5615.98</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center"/>
        <w:outlineLvl w:val="0"/>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常德市人民政府办公室</w:t>
      </w:r>
      <w:r>
        <w:rPr>
          <w:rFonts w:ascii="Times New Roman" w:hAnsi="Times New Roman" w:eastAsia="仿宋_GB2312" w:cs="Times New Roman"/>
          <w:color w:val="000000"/>
          <w:kern w:val="0"/>
          <w:szCs w:val="21"/>
        </w:rPr>
        <w:t xml:space="preserve">                                                                                                 公开02表</w:t>
      </w:r>
    </w:p>
    <w:p>
      <w:pPr>
        <w:widowControl/>
        <w:ind w:right="630"/>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单位：万元</w:t>
      </w:r>
    </w:p>
    <w:tbl>
      <w:tblPr>
        <w:tblStyle w:val="6"/>
        <w:tblW w:w="13813" w:type="dxa"/>
        <w:jc w:val="center"/>
        <w:tblLayout w:type="fixed"/>
        <w:tblCellMar>
          <w:top w:w="0" w:type="dxa"/>
          <w:left w:w="108" w:type="dxa"/>
          <w:bottom w:w="0" w:type="dxa"/>
          <w:right w:w="108" w:type="dxa"/>
        </w:tblCellMar>
      </w:tblPr>
      <w:tblGrid>
        <w:gridCol w:w="1197"/>
        <w:gridCol w:w="1188"/>
        <w:gridCol w:w="1676"/>
        <w:gridCol w:w="1595"/>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2385"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385"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2385" w:type="dxa"/>
            <w:gridSpan w:val="2"/>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合计</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4,755.43</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4,755.43</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3,807.32</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3,807.32</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政府办公厅（室）及相关机构事务</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3,775.53</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3,775.53</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2010301</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行政运行</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3,035.48</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3,035.48</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2010302</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一般行政管理事务</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271.67</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271.67</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2010306</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政务公开审批</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7.78</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7.78</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2010308</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信访事务</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0.31</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0.31</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2010350</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事业运行</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3.31</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3.31</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其他政府办公厅（室）及相关机构事务支出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456.99</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456.99</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20111</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纪检监察事务</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2011105</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派驻派出机构</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20123</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民族事务</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2012304</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民族工作专项</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其他共产党事务支出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市场监督管理事务</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其他市场监督管理事务</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其他一般公共服务支出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715.58</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715.58</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行政事业单位离退休</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701.04</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701.04</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2080501</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归口管理的行政单位离退休</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536.27</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536.27</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机关事业单位基本养老保险缴费支出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164.77</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164.77</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20808</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抚恤</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2080801</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死亡抚恤</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交通运输支出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21401</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公路水路运输</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2140199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其他公路水路运输支出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资源勘探信息等支出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21508</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支持中小企业发展和管理支出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2150899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其他支持中小企业发展和管理支出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商业服务业等支出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21606</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涉外发展服务支出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2160699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其他涉外发展服务支出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住房保障支出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187.53</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187.53</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22102</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住房改革支出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187.53</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187.53</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2210201</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住房公积金</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187.53</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187.53</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灾害防治及应急管理支出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22401</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应急管理事务</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2240199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其他应急管理支出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22999</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2299901</w:t>
            </w:r>
          </w:p>
        </w:tc>
        <w:tc>
          <w:tcPr>
            <w:tcW w:w="1188"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其他支出</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59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38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41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6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01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p>
        </w:tc>
      </w:tr>
    </w:tbl>
    <w:p>
      <w:pPr>
        <w:widowControl/>
        <w:rPr>
          <w:rFonts w:ascii="Times New Roman" w:hAnsi="Times New Roman" w:eastAsia="方正小标宋_GBK" w:cs="Times New Roman"/>
          <w:color w:val="000000"/>
          <w:kern w:val="0"/>
          <w:sz w:val="36"/>
          <w:szCs w:val="36"/>
        </w:rPr>
      </w:pPr>
    </w:p>
    <w:p>
      <w:pPr>
        <w:widowControl/>
        <w:jc w:val="center"/>
        <w:outlineLvl w:val="0"/>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 w:val="20"/>
          <w:szCs w:val="20"/>
        </w:rPr>
        <w:t>常德市人民政府办公室</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6"/>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249"/>
        <w:gridCol w:w="177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77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24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77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4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7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合计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5,107.00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4,062.06</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1,044.94</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4,128.00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3,158.05</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969.94</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政府办公厅（室）及相关机构事务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4,097.02</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3,155.21</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941.81</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行政运行</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3,079.97</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2,442.55</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637.42</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2010302</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一般行政管理事务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269.15</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269.15</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2010305</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专项业务活动</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36.65</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24.23</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12.42</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2010306</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政务公开审批</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7.78</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7.78</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2010308</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信访事务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0.55</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0.55</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2010350</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事业运行</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3.31</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3.31</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其他政府办公厅（室）及相关机构事务支出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699.62</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419.28</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280.34</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20111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纪检监察事务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2.84</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2011101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行政运行</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2.84</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20123</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民族事务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11.94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11.94</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2012302</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一般行政管理事务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3.94</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2012304</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民族工作专项</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其他共产党事务支出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市场监督管理事务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其他市场监督管理事务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其他一般公共服务支出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204</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公共安全支出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20406</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司法</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2040612</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法制建设</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206</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科学技术支出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20604</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技术研究与开发</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2060499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其他技术研究与开发支出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715.57</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715.57</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行政事业单位离退休</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701.02</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701.02</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归口管理的行政单位离退休</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536.26</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536.26</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机关事业单位基本养老保险缴费支出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164.77</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164.77</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20808</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抚恤</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2080801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死亡抚恤</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农林水支出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农业</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2130110</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执法监管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交通运输支出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公路水路运输</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2140199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其他公路水路运输支出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资源勘探信息等支出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21508</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支持中小企业发展和管理支出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2150899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其他支持中小企业发展和管理支出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商业服务业等支出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21606</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涉外发展服务支出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2160699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其他涉外发展服务支出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住房保障支出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22102</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住房改革支出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2210201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住房公积金</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灾害防治及应急管理支出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应急管理事务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2240199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其他应急管理支出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22902</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年初预留</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2290200</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年初预留</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22999</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2299901</w:t>
            </w:r>
          </w:p>
        </w:tc>
        <w:tc>
          <w:tcPr>
            <w:tcW w:w="1249"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其他支出</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outlineLvl w:val="0"/>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仿宋_GB2312" w:cs="Times New Roman"/>
          <w:color w:val="000000"/>
          <w:kern w:val="0"/>
          <w:szCs w:val="21"/>
        </w:rPr>
        <w:t>公开</w:t>
      </w:r>
      <w:r>
        <w:rPr>
          <w:rFonts w:ascii="Times New Roman" w:hAnsi="Times New Roman" w:eastAsia="宋体" w:cs="Times New Roman"/>
          <w:color w:val="000000"/>
          <w:kern w:val="0"/>
          <w:szCs w:val="21"/>
        </w:rPr>
        <w:t>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常德市人民政府办公室</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6"/>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4,755.43</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5</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4128.00　</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4128.00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6</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　</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1880" w:type="dxa"/>
            <w:shd w:val="clear" w:color="auto" w:fill="auto"/>
            <w:vAlign w:val="center"/>
          </w:tcPr>
          <w:p>
            <w:pPr>
              <w:widowControl/>
              <w:jc w:val="right"/>
              <w:rPr>
                <w:rFonts w:ascii="Times New Roman" w:hAnsi="Times New Roman" w:eastAsia="仿宋_GB2312" w:cs="Times New Roman"/>
                <w:kern w:val="0"/>
                <w:szCs w:val="21"/>
              </w:rPr>
            </w:pP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572" w:type="dxa"/>
            <w:shd w:val="clear" w:color="auto" w:fill="auto"/>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八、社会保障和就业支出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8</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715.57　</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715.57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十二、农林水支出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　</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十三、交通运输支出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　</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十四、资源勘探信息等支出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1</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　</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十五、商业服务业等支出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　</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88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十九、住房保障支出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3</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186.44</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186.44</w:t>
            </w:r>
          </w:p>
        </w:tc>
        <w:tc>
          <w:tcPr>
            <w:tcW w:w="15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p>
        </w:tc>
        <w:tc>
          <w:tcPr>
            <w:tcW w:w="1880" w:type="dxa"/>
            <w:shd w:val="clear" w:color="auto" w:fill="auto"/>
            <w:vAlign w:val="center"/>
          </w:tcPr>
          <w:p>
            <w:pPr>
              <w:widowControl/>
              <w:jc w:val="left"/>
              <w:rPr>
                <w:rFonts w:ascii="Times New Roman" w:hAnsi="Times New Roman" w:eastAsia="仿宋_GB2312" w:cs="Times New Roman"/>
                <w:kern w:val="0"/>
                <w:szCs w:val="21"/>
              </w:rPr>
            </w:pPr>
          </w:p>
        </w:tc>
        <w:tc>
          <w:tcPr>
            <w:tcW w:w="3761"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二十一、灾害防治及应急管理支出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1572" w:type="dxa"/>
            <w:shd w:val="clear" w:color="auto" w:fill="auto"/>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p>
        </w:tc>
        <w:tc>
          <w:tcPr>
            <w:tcW w:w="480" w:type="dxa"/>
            <w:shd w:val="clear" w:color="auto" w:fill="auto"/>
            <w:vAlign w:val="center"/>
          </w:tcPr>
          <w:p>
            <w:pPr>
              <w:widowControl/>
              <w:jc w:val="center"/>
              <w:rPr>
                <w:rFonts w:ascii="Times New Roman" w:hAnsi="Times New Roman" w:eastAsia="仿宋_GB2312" w:cs="Times New Roman"/>
                <w:kern w:val="0"/>
                <w:szCs w:val="21"/>
              </w:rPr>
            </w:pPr>
          </w:p>
        </w:tc>
        <w:tc>
          <w:tcPr>
            <w:tcW w:w="1880" w:type="dxa"/>
            <w:shd w:val="clear" w:color="auto" w:fill="auto"/>
            <w:vAlign w:val="center"/>
          </w:tcPr>
          <w:p>
            <w:pPr>
              <w:widowControl/>
              <w:jc w:val="left"/>
              <w:rPr>
                <w:rFonts w:ascii="Times New Roman" w:hAnsi="Times New Roman" w:eastAsia="仿宋_GB2312" w:cs="Times New Roman"/>
                <w:kern w:val="0"/>
                <w:szCs w:val="21"/>
              </w:rPr>
            </w:pPr>
          </w:p>
        </w:tc>
        <w:tc>
          <w:tcPr>
            <w:tcW w:w="3761"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二十二、其他支出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9.00</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9.00</w:t>
            </w:r>
          </w:p>
        </w:tc>
        <w:tc>
          <w:tcPr>
            <w:tcW w:w="1572" w:type="dxa"/>
            <w:shd w:val="clear" w:color="auto" w:fill="auto"/>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b/>
                <w:bCs/>
                <w:kern w:val="0"/>
                <w:szCs w:val="21"/>
              </w:rPr>
              <w:t>4755.43</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6</w:t>
            </w:r>
          </w:p>
        </w:tc>
        <w:tc>
          <w:tcPr>
            <w:tcW w:w="1880" w:type="dxa"/>
            <w:shd w:val="clear" w:color="auto" w:fill="auto"/>
            <w:vAlign w:val="center"/>
          </w:tcPr>
          <w:p>
            <w:pPr>
              <w:widowControl/>
              <w:jc w:val="righ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5107.00</w:t>
            </w:r>
          </w:p>
        </w:tc>
        <w:tc>
          <w:tcPr>
            <w:tcW w:w="1660" w:type="dxa"/>
            <w:shd w:val="clear" w:color="auto" w:fill="auto"/>
            <w:vAlign w:val="center"/>
          </w:tcPr>
          <w:p>
            <w:pPr>
              <w:widowControl/>
              <w:jc w:val="righ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5107.00</w:t>
            </w:r>
          </w:p>
        </w:tc>
        <w:tc>
          <w:tcPr>
            <w:tcW w:w="1572"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1</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860.55</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7</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508.98</w:t>
            </w:r>
          </w:p>
        </w:tc>
        <w:tc>
          <w:tcPr>
            <w:tcW w:w="166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508.98</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860.55</w:t>
            </w: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8</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3</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29</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b/>
                <w:bCs/>
                <w:kern w:val="0"/>
                <w:szCs w:val="21"/>
              </w:rPr>
              <w:t>5615.98</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c>
          <w:tcPr>
            <w:tcW w:w="1880" w:type="dxa"/>
            <w:shd w:val="clear" w:color="auto" w:fill="auto"/>
            <w:vAlign w:val="center"/>
          </w:tcPr>
          <w:p>
            <w:pPr>
              <w:widowControl/>
              <w:jc w:val="righ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5615.98</w:t>
            </w:r>
            <w:r>
              <w:rPr>
                <w:rFonts w:ascii="Times New Roman" w:hAnsi="Times New Roman" w:eastAsia="仿宋_GB2312" w:cs="Times New Roman"/>
                <w:b/>
                <w:bCs/>
                <w:kern w:val="0"/>
                <w:szCs w:val="21"/>
              </w:rPr>
              <w:t>　</w:t>
            </w:r>
          </w:p>
        </w:tc>
        <w:tc>
          <w:tcPr>
            <w:tcW w:w="1660" w:type="dxa"/>
            <w:shd w:val="clear" w:color="auto" w:fill="auto"/>
            <w:vAlign w:val="center"/>
          </w:tcPr>
          <w:p>
            <w:pPr>
              <w:widowControl/>
              <w:jc w:val="righ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rPr>
              <w:t>5615.98</w:t>
            </w:r>
          </w:p>
        </w:tc>
        <w:tc>
          <w:tcPr>
            <w:tcW w:w="1572"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outlineLvl w:val="0"/>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常德市人民政府办公室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5,107.00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4,062.06</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1,044.94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4,128.00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3,158.05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969.94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政府办公厅（室）及相关机构事务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4,097.02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3,155.21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941.81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2010301</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3,079.97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2,442.55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637.42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2010302</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269.15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269.15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2010305</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专项业务活动</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36.65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24.23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12.42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2010306</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政务公开审批</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7.78</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7.78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2010308</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信访事务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0.55</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0.55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2010350</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事业运行</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3.31</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其他政府办公厅（室）及相关机构事务支出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699.62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419.28</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280.34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20111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纪检监察事务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2011101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行政运行</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20123</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民族事务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11.94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2012302</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一般行政管理事务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2012304</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民族工作专项</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其他共产党事务支出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10.19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市场监督管理事务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其他市场监督管理事务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其他一般公共服务支出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204</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公共安全支出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20406</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司法</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2040612</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法制建设</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206</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科学技术支出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20604</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技术研究与开发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2060499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其他技术研究与开发支出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715.57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行政事业单位离退休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701.02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701.02</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归口管理的行政单位离退休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536.26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536.26</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机关事业单位基本养老保险缴费支出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164.77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164.77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20808</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抚恤</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2080801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死亡抚恤</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14.55</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农林水支出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农业</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2130110</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执法监管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交通运输支出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公路水路运输</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2140199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其他公路水路运输支出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资源勘探信息等支出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21508</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支持中小企业发展和管理支出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2150899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其他支持中小企业发展和管理支出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商业服务业等支出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21606</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涉外发展服务支出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2160699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其他涉外发展服务支出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住房保障支出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22102</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住房改革支出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2210201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186.44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灾害防治及应急管理支出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应急管理事务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2240199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其他应急管理支出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22902</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年初预留</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2290200</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年初预留</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22999</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2299901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其他支出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常德市人民政府办公室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5900" w:type="dxa"/>
        <w:tblInd w:w="93" w:type="dxa"/>
        <w:tblLayout w:type="fixed"/>
        <w:tblCellMar>
          <w:top w:w="0" w:type="dxa"/>
          <w:left w:w="108" w:type="dxa"/>
          <w:bottom w:w="0" w:type="dxa"/>
          <w:right w:w="108" w:type="dxa"/>
        </w:tblCellMar>
      </w:tblPr>
      <w:tblGrid>
        <w:gridCol w:w="1149"/>
        <w:gridCol w:w="3306"/>
        <w:gridCol w:w="980"/>
        <w:gridCol w:w="986"/>
        <w:gridCol w:w="2297"/>
        <w:gridCol w:w="856"/>
        <w:gridCol w:w="1076"/>
        <w:gridCol w:w="3482"/>
        <w:gridCol w:w="1768"/>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9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98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48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76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工资福利支出</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2,473.52</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商品和服务支出</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983.94</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307</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债务利息及费用支出</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30101</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基本工资</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667.98</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30201</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办公费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93.81</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30701</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国内债务付息</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30102</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津贴补贴</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331.80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30202</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印刷费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91.67</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30702</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国外债务付息</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30103</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奖金</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617.34</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30203</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咨询费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6.00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资本性支出</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43.85</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30106</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伙食补助费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30204</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手续费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31001</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房屋建筑物购建</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30107</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绩效工资</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6.44</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30205</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水费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31002</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办公设备购置</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40.23</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30108</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机关事业单位基本养老保险缴费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164.77</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30206</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电费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31003</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专用设备购置</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30109</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职业年金缴费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30207</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邮电费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5.40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31005</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基础设施建设</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30110</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职工基本医疗保险缴费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64.87</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30208</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取暖费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31006</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大型修缮</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30111</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公务员医疗补助缴费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30209</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物业管理费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155.00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31007</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信息网络及软件购置更新</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20"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30112</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其他社会保障缴费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14.39</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30211</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差旅费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41.37</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31008</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物资储备</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30113</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住房公积金</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186.44</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30212</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因公出国（境）费用</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16.49</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31009</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土地补偿</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30114</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医疗费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30213</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维修（护）费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28.94</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31010</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安置补助</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30199</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其他工资福利支出</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419.49</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30214</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租赁费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31011</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地上附着物和青苗补偿</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对个人和家庭的补助</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560.75</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30215</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会议费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21.60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31012</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拆迁补偿</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30301</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离休费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62.21</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30216</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培训费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31013</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公务用车购置</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30302</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退休费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37.06</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30217</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公务接待费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16.77</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31019</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其他交通工具购置</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30303</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退职（役）费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30218</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专用材料费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31021</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文物和陈列品购置</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30304</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抚恤金</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15.25</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30224</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被装购置费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31022</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无形资产购置</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30305</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生活补助</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137.05</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30225</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专用燃料费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31099</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其他资本性支出</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3.62</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30306</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救济费</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30226</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劳务费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5.33</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399</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其他支出</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30307</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医疗费补助</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55.58</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30227</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委托业务费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39906</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赠与</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lang w:bidi="ar"/>
              </w:rPr>
              <w:t>30308</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助学金</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30228</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工会经费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38.62</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39907</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国家赔偿费用支出</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仿宋_GB2312" w:cs="Times New Roman"/>
                <w:color w:val="000000"/>
                <w:kern w:val="0"/>
                <w:sz w:val="18"/>
                <w:szCs w:val="18"/>
              </w:rPr>
            </w:pPr>
            <w:r>
              <w:rPr>
                <w:rFonts w:ascii="Times New Roman" w:hAnsi="Times New Roman" w:eastAsia="宋体" w:cs="Times New Roman"/>
                <w:color w:val="000000"/>
                <w:kern w:val="0"/>
                <w:sz w:val="18"/>
                <w:szCs w:val="18"/>
                <w:lang w:bidi="ar"/>
              </w:rPr>
              <w:t>30309</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奖励金</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253.61</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30229</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福利费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106.68</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39908</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对民间非营利组织和群众性自治组织补贴</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仿宋_GB2312" w:cs="Times New Roman"/>
                <w:color w:val="000000"/>
                <w:kern w:val="0"/>
                <w:sz w:val="18"/>
                <w:szCs w:val="18"/>
              </w:rPr>
            </w:pPr>
            <w:r>
              <w:rPr>
                <w:rFonts w:ascii="Times New Roman" w:hAnsi="Times New Roman" w:eastAsia="宋体" w:cs="Times New Roman"/>
                <w:color w:val="000000"/>
                <w:kern w:val="0"/>
                <w:sz w:val="18"/>
                <w:szCs w:val="18"/>
                <w:lang w:bidi="ar"/>
              </w:rPr>
              <w:t>30310</w:t>
            </w:r>
          </w:p>
        </w:tc>
        <w:tc>
          <w:tcPr>
            <w:tcW w:w="330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个人农业生产补贴</w:t>
            </w: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30231</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公务用车运行维护费</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195.39</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39999</w:t>
            </w:r>
          </w:p>
        </w:tc>
        <w:tc>
          <w:tcPr>
            <w:tcW w:w="3482"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其他支出</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仿宋_GB2312" w:cs="Times New Roman"/>
                <w:color w:val="000000"/>
                <w:kern w:val="0"/>
                <w:sz w:val="18"/>
                <w:szCs w:val="18"/>
              </w:rPr>
            </w:pPr>
            <w:r>
              <w:rPr>
                <w:rFonts w:ascii="Times New Roman" w:hAnsi="Times New Roman" w:eastAsia="宋体" w:cs="Times New Roman"/>
                <w:color w:val="000000"/>
                <w:kern w:val="0"/>
                <w:sz w:val="18"/>
                <w:szCs w:val="18"/>
                <w:lang w:bidi="ar"/>
              </w:rPr>
              <w:t>30399</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 xml:space="preserve">  其他对个人和家庭的补助</w:t>
            </w:r>
          </w:p>
        </w:tc>
        <w:tc>
          <w:tcPr>
            <w:tcW w:w="980" w:type="dxa"/>
            <w:tcBorders>
              <w:top w:val="single" w:color="auto" w:sz="8" w:space="0"/>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986" w:type="dxa"/>
            <w:tcBorders>
              <w:top w:val="single" w:color="auto" w:sz="8" w:space="0"/>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30239</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117.03</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p>
        </w:tc>
        <w:tc>
          <w:tcPr>
            <w:tcW w:w="3482" w:type="dxa"/>
            <w:tcBorders>
              <w:top w:val="single" w:color="auto" w:sz="8" w:space="0"/>
              <w:left w:val="nil"/>
              <w:bottom w:val="single" w:color="auto" w:sz="8" w:space="0"/>
              <w:right w:val="single" w:color="auto" w:sz="8" w:space="0"/>
            </w:tcBorders>
            <w:shd w:val="clear" w:color="auto" w:fill="auto"/>
            <w:vAlign w:val="center"/>
          </w:tcPr>
          <w:p>
            <w:pPr>
              <w:jc w:val="left"/>
              <w:rPr>
                <w:rFonts w:ascii="仿宋_GB2312" w:hAnsi="宋体" w:eastAsia="仿宋_GB2312" w:cs="宋体"/>
                <w:color w:val="000000"/>
                <w:kern w:val="0"/>
                <w:sz w:val="18"/>
                <w:szCs w:val="18"/>
              </w:rPr>
            </w:pPr>
          </w:p>
        </w:tc>
        <w:tc>
          <w:tcPr>
            <w:tcW w:w="1768" w:type="dxa"/>
            <w:tcBorders>
              <w:top w:val="single" w:color="auto" w:sz="8" w:space="0"/>
              <w:left w:val="nil"/>
              <w:bottom w:val="single" w:color="auto" w:sz="8" w:space="0"/>
              <w:right w:val="single" w:color="auto" w:sz="8" w:space="0"/>
            </w:tcBorders>
            <w:shd w:val="clear" w:color="auto" w:fill="auto"/>
            <w:vAlign w:val="center"/>
          </w:tcPr>
          <w:p>
            <w:pPr>
              <w:jc w:val="righ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jc w:val="left"/>
              <w:rPr>
                <w:rFonts w:ascii="Times New Roman" w:hAnsi="Times New Roman" w:eastAsia="仿宋_GB2312" w:cs="Times New Roman"/>
                <w:color w:val="000000"/>
                <w:kern w:val="0"/>
                <w:sz w:val="18"/>
                <w:szCs w:val="18"/>
              </w:rPr>
            </w:pPr>
          </w:p>
        </w:tc>
        <w:tc>
          <w:tcPr>
            <w:tcW w:w="3306" w:type="dxa"/>
            <w:tcBorders>
              <w:top w:val="nil"/>
              <w:left w:val="nil"/>
              <w:bottom w:val="single" w:color="auto" w:sz="8" w:space="0"/>
              <w:right w:val="single" w:color="auto" w:sz="8" w:space="0"/>
            </w:tcBorders>
            <w:shd w:val="clear" w:color="auto" w:fill="auto"/>
            <w:vAlign w:val="center"/>
          </w:tcPr>
          <w:p>
            <w:pPr>
              <w:jc w:val="left"/>
              <w:rPr>
                <w:rFonts w:ascii="Times New Roman" w:hAnsi="Times New Roman" w:eastAsia="宋体" w:cs="Times New Roman"/>
                <w:color w:val="000000"/>
                <w:kern w:val="0"/>
                <w:sz w:val="18"/>
                <w:szCs w:val="18"/>
              </w:rPr>
            </w:pPr>
          </w:p>
        </w:tc>
        <w:tc>
          <w:tcPr>
            <w:tcW w:w="980"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30240</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税金及附加费用</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0.00</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p>
        </w:tc>
        <w:tc>
          <w:tcPr>
            <w:tcW w:w="3482" w:type="dxa"/>
            <w:tcBorders>
              <w:top w:val="nil"/>
              <w:left w:val="nil"/>
              <w:bottom w:val="single" w:color="auto" w:sz="8" w:space="0"/>
              <w:right w:val="single" w:color="auto" w:sz="8" w:space="0"/>
            </w:tcBorders>
            <w:shd w:val="clear" w:color="auto" w:fill="auto"/>
            <w:vAlign w:val="center"/>
          </w:tcPr>
          <w:p>
            <w:pPr>
              <w:jc w:val="left"/>
              <w:rPr>
                <w:rFonts w:ascii="仿宋_GB2312" w:hAnsi="宋体" w:eastAsia="仿宋_GB2312" w:cs="宋体"/>
                <w:color w:val="000000"/>
                <w:kern w:val="0"/>
                <w:sz w:val="18"/>
                <w:szCs w:val="18"/>
              </w:rPr>
            </w:pPr>
          </w:p>
        </w:tc>
        <w:tc>
          <w:tcPr>
            <w:tcW w:w="1768" w:type="dxa"/>
            <w:tcBorders>
              <w:top w:val="nil"/>
              <w:left w:val="nil"/>
              <w:bottom w:val="single" w:color="auto" w:sz="8" w:space="0"/>
              <w:right w:val="single" w:color="auto" w:sz="8" w:space="0"/>
            </w:tcBorders>
            <w:shd w:val="clear" w:color="auto" w:fill="auto"/>
            <w:vAlign w:val="center"/>
          </w:tcPr>
          <w:p>
            <w:pPr>
              <w:jc w:val="righ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jc w:val="left"/>
              <w:rPr>
                <w:rFonts w:ascii="仿宋_GB2312" w:hAnsi="宋体" w:eastAsia="仿宋_GB2312" w:cs="宋体"/>
                <w:color w:val="000000"/>
                <w:kern w:val="0"/>
                <w:sz w:val="18"/>
                <w:szCs w:val="18"/>
              </w:rPr>
            </w:pPr>
          </w:p>
        </w:tc>
        <w:tc>
          <w:tcPr>
            <w:tcW w:w="3306" w:type="dxa"/>
            <w:tcBorders>
              <w:top w:val="nil"/>
              <w:left w:val="nil"/>
              <w:bottom w:val="single" w:color="auto" w:sz="8" w:space="0"/>
              <w:right w:val="single" w:color="auto" w:sz="8" w:space="0"/>
            </w:tcBorders>
            <w:shd w:val="clear" w:color="auto" w:fill="auto"/>
            <w:vAlign w:val="center"/>
          </w:tcPr>
          <w:p>
            <w:pPr>
              <w:jc w:val="left"/>
              <w:rPr>
                <w:rFonts w:ascii="Times New Roman" w:hAnsi="Times New Roman" w:eastAsia="宋体" w:cs="Times New Roman"/>
                <w:color w:val="000000"/>
                <w:kern w:val="0"/>
                <w:sz w:val="18"/>
                <w:szCs w:val="18"/>
              </w:rPr>
            </w:pPr>
          </w:p>
        </w:tc>
        <w:tc>
          <w:tcPr>
            <w:tcW w:w="98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kern w:val="0"/>
                <w:sz w:val="18"/>
                <w:szCs w:val="18"/>
              </w:rPr>
            </w:pPr>
          </w:p>
        </w:tc>
        <w:tc>
          <w:tcPr>
            <w:tcW w:w="98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30299</w:t>
            </w:r>
          </w:p>
        </w:tc>
        <w:tc>
          <w:tcPr>
            <w:tcW w:w="2297"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  其他商品和服务支出</w:t>
            </w:r>
          </w:p>
        </w:tc>
        <w:tc>
          <w:tcPr>
            <w:tcW w:w="85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43.85</w:t>
            </w:r>
          </w:p>
        </w:tc>
        <w:tc>
          <w:tcPr>
            <w:tcW w:w="1076"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p>
        </w:tc>
        <w:tc>
          <w:tcPr>
            <w:tcW w:w="3482" w:type="dxa"/>
            <w:tcBorders>
              <w:top w:val="nil"/>
              <w:left w:val="nil"/>
              <w:bottom w:val="single" w:color="auto" w:sz="8" w:space="0"/>
              <w:right w:val="single" w:color="auto" w:sz="8" w:space="0"/>
            </w:tcBorders>
            <w:shd w:val="clear" w:color="auto" w:fill="auto"/>
            <w:vAlign w:val="center"/>
          </w:tcPr>
          <w:p>
            <w:pPr>
              <w:jc w:val="left"/>
              <w:rPr>
                <w:rFonts w:ascii="仿宋_GB2312" w:hAnsi="宋体" w:eastAsia="仿宋_GB2312" w:cs="宋体"/>
                <w:color w:val="000000"/>
                <w:kern w:val="0"/>
                <w:sz w:val="18"/>
                <w:szCs w:val="18"/>
              </w:rPr>
            </w:pPr>
          </w:p>
        </w:tc>
        <w:tc>
          <w:tcPr>
            <w:tcW w:w="1768" w:type="dxa"/>
            <w:tcBorders>
              <w:top w:val="nil"/>
              <w:left w:val="nil"/>
              <w:bottom w:val="single" w:color="auto" w:sz="8" w:space="0"/>
              <w:right w:val="single" w:color="auto" w:sz="8" w:space="0"/>
            </w:tcBorders>
            <w:shd w:val="clear" w:color="auto" w:fill="auto"/>
            <w:vAlign w:val="center"/>
          </w:tcPr>
          <w:p>
            <w:pPr>
              <w:jc w:val="righ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_GB2312" w:hAnsi="宋体" w:eastAsia="仿宋_GB2312" w:cs="宋体"/>
                <w:color w:val="000000"/>
                <w:kern w:val="0"/>
                <w:sz w:val="18"/>
                <w:szCs w:val="18"/>
              </w:rPr>
            </w:pPr>
            <w:r>
              <w:rPr>
                <w:rFonts w:hint="eastAsia" w:ascii="仿宋" w:hAnsi="仿宋" w:eastAsia="仿宋" w:cs="仿宋"/>
                <w:color w:val="000000"/>
                <w:kern w:val="0"/>
                <w:sz w:val="18"/>
                <w:szCs w:val="18"/>
                <w:lang w:bidi="ar"/>
              </w:rPr>
              <w:t>人员经费合计</w:t>
            </w:r>
          </w:p>
        </w:tc>
        <w:tc>
          <w:tcPr>
            <w:tcW w:w="9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lang w:bidi="ar"/>
              </w:rPr>
              <w:t>3,034.26</w:t>
            </w:r>
          </w:p>
        </w:tc>
        <w:tc>
          <w:tcPr>
            <w:tcW w:w="8697" w:type="dxa"/>
            <w:gridSpan w:val="5"/>
            <w:tcBorders>
              <w:top w:val="nil"/>
              <w:left w:val="nil"/>
              <w:bottom w:val="single" w:color="auto" w:sz="8" w:space="0"/>
              <w:right w:val="single" w:color="auto" w:sz="8" w:space="0"/>
            </w:tcBorders>
            <w:shd w:val="clear" w:color="auto" w:fill="auto"/>
            <w:vAlign w:val="center"/>
          </w:tcPr>
          <w:p>
            <w:pPr>
              <w:widowControl/>
              <w:jc w:val="center"/>
              <w:textAlignment w:val="center"/>
              <w:rPr>
                <w:rFonts w:ascii="仿宋_GB2312" w:hAnsi="宋体" w:eastAsia="仿宋_GB2312" w:cs="宋体"/>
                <w:color w:val="000000"/>
                <w:kern w:val="0"/>
                <w:sz w:val="18"/>
                <w:szCs w:val="18"/>
              </w:rPr>
            </w:pPr>
            <w:r>
              <w:rPr>
                <w:rFonts w:hint="eastAsia" w:ascii="仿宋" w:hAnsi="仿宋" w:eastAsia="仿宋" w:cs="仿宋"/>
                <w:color w:val="000000"/>
                <w:kern w:val="0"/>
                <w:sz w:val="18"/>
                <w:szCs w:val="18"/>
                <w:lang w:bidi="ar"/>
              </w:rPr>
              <w:t>公用经费合计</w:t>
            </w:r>
          </w:p>
        </w:tc>
        <w:tc>
          <w:tcPr>
            <w:tcW w:w="1768" w:type="dxa"/>
            <w:tcBorders>
              <w:top w:val="nil"/>
              <w:left w:val="nil"/>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1,027.79</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outlineLvl w:val="0"/>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常德市人民政府办公室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384.00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254.00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254.00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261.06</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16.49</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195.39</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195.39</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49.18</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outlineLvl w:val="0"/>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常德市人民政府办公室</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无</w:t>
            </w: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2"/>
          <w:szCs w:val="72"/>
        </w:rPr>
      </w:pPr>
    </w:p>
    <w:p>
      <w:pPr>
        <w:pStyle w:val="10"/>
        <w:jc w:val="center"/>
        <w:outlineLvl w:val="0"/>
        <w:rPr>
          <w:sz w:val="70"/>
          <w:szCs w:val="70"/>
        </w:rPr>
      </w:pPr>
      <w:r>
        <w:rPr>
          <w:sz w:val="72"/>
          <w:szCs w:val="72"/>
        </w:rPr>
        <w:t>2019</w:t>
      </w:r>
      <w:r>
        <w:rPr>
          <w:rFonts w:hint="eastAsia"/>
          <w:sz w:val="72"/>
          <w:szCs w:val="72"/>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outlineLvl w:val="0"/>
        <w:rPr>
          <w:rFonts w:hAnsi="黑体"/>
          <w:b/>
          <w:sz w:val="32"/>
          <w:szCs w:val="32"/>
        </w:rPr>
      </w:pPr>
      <w:r>
        <w:rPr>
          <w:rFonts w:hint="eastAsia" w:hAnsi="黑体"/>
          <w:b/>
          <w:sz w:val="32"/>
          <w:szCs w:val="32"/>
        </w:rPr>
        <w:t>一、收入支出决算总体情况说明</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2019年度收入总计4755.43万元，支出总计5107万元。与2018年相比，收入总计减少1123.21万元，减少19.11%，支出总计减少597.51万元，减少10.47%，主要原因如下：一方面因政府机构改革，市政府办原有的金融工作、民族宗教工作、政务公开工作、应急工作等职能划出，年初预算的相关专项经费指标被财政收回，不再在本办列支；一方面市市直机关公务用车服务管理中心年初结余较多，财政在审核拨款时减少了本年预算拨款；一方面，与2018年相比，本年未发生公务车购置支出，离退休人员死亡抚恤费支出也同比大幅减少。</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本年收入合计4755.43万元，其中：财政拨款收入4755.43万元，占100%。</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仿宋" w:hAnsi="仿宋" w:eastAsia="仿宋" w:cs="仿宋"/>
          <w:sz w:val="32"/>
          <w:szCs w:val="32"/>
        </w:rPr>
        <w:t>本年支出合计5107万元，其中：基本支出4062.06万元，占79.54%；项目支出1044.94万元，占20.46%。</w:t>
      </w:r>
    </w:p>
    <w:p>
      <w:pPr>
        <w:pStyle w:val="10"/>
        <w:numPr>
          <w:ilvl w:val="0"/>
          <w:numId w:val="2"/>
        </w:numPr>
        <w:outlineLvl w:val="0"/>
        <w:rPr>
          <w:rFonts w:hAnsi="黑体"/>
          <w:b/>
          <w:sz w:val="32"/>
          <w:szCs w:val="32"/>
        </w:rPr>
      </w:pPr>
      <w:r>
        <w:rPr>
          <w:rFonts w:hint="eastAsia" w:hAnsi="黑体"/>
          <w:b/>
          <w:sz w:val="32"/>
          <w:szCs w:val="32"/>
        </w:rPr>
        <w:t>财政拨款收入支出决算总体情况说明</w:t>
      </w:r>
    </w:p>
    <w:p>
      <w:pPr>
        <w:pStyle w:val="10"/>
        <w:ind w:firstLine="640" w:firstLineChars="200"/>
        <w:rPr>
          <w:rFonts w:asciiTheme="minorEastAsia" w:hAnsiTheme="minorEastAsia" w:eastAsiaTheme="minorEastAsia"/>
          <w:sz w:val="32"/>
          <w:szCs w:val="32"/>
        </w:rPr>
      </w:pPr>
      <w:r>
        <w:rPr>
          <w:rFonts w:hint="eastAsia" w:ascii="仿宋" w:hAnsi="仿宋" w:eastAsia="仿宋" w:cs="仿宋"/>
          <w:sz w:val="32"/>
          <w:szCs w:val="32"/>
        </w:rPr>
        <w:t xml:space="preserve"> 2019年度财政拨款收入总计4755.43万元，财政拨款支出总计5107万元。与2018年相比，财政拨款收入总计减少1123.21万元，减少19.11%，财政拨款支出总计减少597.51万元，减少10.47%，主要原因如下：一方面因政府机构改革，市政府办原有的金融工作、民族宗教工作、政务公开工作、应急工作等职能划出，年初预算的相关专项经费指标被财政收回，不再在本办列支；一方面市市直机关公务用车服务管理中心年初结余较多，财政在审核拨款时减少了本年预算拨款；一方面，与2018年相比，本年未发生公务车购置支出，离退休人员死亡抚恤费支出也同比大幅减少。</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仿宋" w:hAnsi="仿宋" w:eastAsia="仿宋" w:cs="仿宋"/>
          <w:sz w:val="32"/>
          <w:szCs w:val="32"/>
        </w:rPr>
        <w:t>2019年度财政拨款支出5107万元，占本年支出合计的100%，与2018年相比，财政拨款支出减少597.51万元，减少10.47%，主要是因为基本支出中日常公用经费减少419.84万元，项目支出减少452.58万元。由于工资、绩效、文明单位、综治奖、社保缴费基数、公积金计提基数调标、退休人员养老金增加等因素，人员经费支出增加274.91万元。</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仿宋" w:hAnsi="仿宋" w:eastAsia="仿宋" w:cs="仿宋"/>
          <w:sz w:val="32"/>
          <w:szCs w:val="32"/>
        </w:rPr>
        <w:t>2019年度财政拨款支出5107万元，主要用于以下方面：一般公共服务（类）支出4128万元，占80.83%；公共安全（类）支出1万元，占0.02%；科学技术（类）支出2万元，占0.04%；社会保障和就业（类）支出715.57万元，占14.01%；农林水（类）支出1万元，占0.02%；交通运输（类）支出30万元，占0.59%；资源勘探信息（类）支出12万元，占0.23%；商业服务（类）支出20万元，占0.39%；住房保障（类）支出186.44万元，占3.65%；灾害防治及应急管理（类）支出2万元，占0.04%；其他（类）支出9万元，占0.18%。</w:t>
      </w:r>
    </w:p>
    <w:p>
      <w:pPr>
        <w:pStyle w:val="10"/>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2019年度财政拨款支出年初预算数为4719.45万元，支出决算数为5107万元，完成年初预算的108.21%，其中：</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一般公共服务（类）行政事务（款）行政运行（项）。年初预算数数为4092.87万元，支出决算数数为3079.97万元，完成年初预算数的75.25%，主要是部分以行政运行（项）预算的支出实际以其他政府办公厅及相关机构事务（项）下达并支出。</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2、一般公共服务（类）行政事务（款）一般行政管理事务（项）。年初预算数为118万元，支出决算数为269.15万元，完成年初预算数的228.09%，主要是消化使用以前年度财政拨款结转资金。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3、一般公共服务（类）行政事务（款）专项业务活动（项）。年初预算数为0万元，支出决算数为36.65万元，主要是消化使用以前年度财政拨款结转资金。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 xml:space="preserve">4、一般公共服务（类）行政事务（款）政务公开审批（项）。年初预算数为0万元，支出决算数为7.78万元，主要是年中追加了专项业务工作经费。 </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5、一般公共服务（类）行政事务（款）信访事务（项）。年初预算数为0万元，支出决算数为0.55万元，主要是消化使用以前年度财政拨款结转资金。</w:t>
      </w:r>
    </w:p>
    <w:p>
      <w:pPr>
        <w:pStyle w:val="10"/>
        <w:ind w:firstLine="640" w:firstLineChars="200"/>
        <w:rPr>
          <w:rFonts w:ascii="仿宋" w:hAnsi="仿宋" w:eastAsia="仿宋" w:cs="仿宋"/>
          <w:sz w:val="32"/>
          <w:szCs w:val="32"/>
        </w:rPr>
      </w:pPr>
    </w:p>
    <w:p>
      <w:pPr>
        <w:pStyle w:val="10"/>
        <w:ind w:firstLine="640" w:firstLineChars="200"/>
        <w:rPr>
          <w:rFonts w:ascii="仿宋" w:hAnsi="仿宋" w:eastAsia="仿宋" w:cs="仿宋"/>
          <w:sz w:val="32"/>
          <w:szCs w:val="32"/>
        </w:rPr>
      </w:pPr>
      <w:r>
        <w:rPr>
          <w:rFonts w:hint="eastAsia" w:ascii="仿宋" w:hAnsi="仿宋" w:eastAsia="仿宋" w:cs="仿宋"/>
          <w:sz w:val="32"/>
          <w:szCs w:val="32"/>
        </w:rPr>
        <w:t xml:space="preserve">6、一般公共服务（类）行政事务（款）事业运行（项）。年初预算数为0万元，支出决算数为3.31万元，主要是年中追加了专项业务工作经费。 </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7、一般公共服务（类）行政事务（款）其他政府办公厅（室）及相关机构事务（项）。年初预算数为0万元，支出决算数为699.62万元，主要是年中追加了专项业务工作经费，同时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8、一般公共服务（类）纪检监察事务（款）行政运行（项）。年初预算数为0万元，支出决算数为2.84万元，主要是消化使用以前年度财政拨款结转资金。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9、一般公共服务（类）民族事务（款）一般行政管理事务（项）。年初预算数为0万元，支出决算数为3.94万元，主要是消化使用以前年度财政拨款结转资金。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10、一般公共服务（类）民族事务（款）民族工作专项（项）。年初预算数为0万元，支出决算数为8万元，主要是消化使用以前年度财政拨款结转资金。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11、一般公共服务（类）其他共产党事务（款）其他共产党事务（项）。年初预算数为0万元，支出决算数为10.19万元，主要是消化使用以前年度财政拨款结转资金。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12、一般公共服务（类）市场监督管理事务（款）其他市场监督管理事务（项）。年初预算数为0万元，支出决算数为1万元，主要是年中追加了专项业务工作经费。</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13、一般公共服务（类）其他一般公共服务（款）其他一般公共服务（项）。年初预算数为0万元，支出决算数为5万元，主要是消化使用以前年度财政拨款结转资金。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14、公共安全（类）司法（款）法制建设（项）。年初预算数为0万元，支出决算数为1万元，主要是消化使用以前年度财政拨款结转资金。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15、科学技术（类）技术研究与开发（款）其他技术研究与开发（项）。年初预算数为0万元，支出决算数为2万元，主要是消化使用以前年度财政拨款结转资金。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 xml:space="preserve">16、社会保障和就业（类）行政事业单位离退休（款）归口管理的行政单位离退休（项）。年初预算数为341.32万元，支出决算数为536.26万元，完成年初预算数的157.11%，主要是年中追加了离退休人员经费。 </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 xml:space="preserve">17、社会保障和就业（类）行政事业单位离退休（款）机关事业单位基本养老保险缴费支出（项）。年初预算数为190.33万元（预算时在行政运行中列示），支出决算数为164.77万元，完成年初预算数的86.57%。 </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18、社会保障和就业（类）抚恤（款）死亡抚恤（项）。年初预算数为0万元，支出决算数为14.55万元，主要是年中追加了退休人员死亡抚恤。</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19、农林水（类）农业（款）执法监管（项）。年初预算数为0万元，支出决算数为 1万元，主要是消化使用以前年度财政拨款结转资金。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20、交通运输（类）公路水路运输（款）其他公路水路运输（项）。年初预算数为0万元，支出决算数为30万元，主要是年中追加了专项业务工作经费。</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21、资源勘探信息（类）支持中小企业发展和管理（款）其他支持中小企业发展和管理（项）。年初预算数为0万元，支出决算数为12万元，主要是年中追加了专项业务工作经费，同时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22、商业服务业（类）涉外发展服务（款）其他涉外发展服务（项）。年初预算数为0万元，支出决算数为20万元，主要是年中追加了专项业务工作经费，同时消化使用以前年度财政拨款结转资金。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 xml:space="preserve"> 23、住房保障（类）住房改革支出（款）住房公积金（项）。年初预算数为167.26万元，支出决算数为186.44万元，完成年初预算数的111.47%，主要是追加了人员经费。</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24、灾害防治及应急管理（类）应急管理事务（款）其他应急管理（项）。年初预算数为0万元，支出决算数为2万元，主要是年中追加了专项业务工作经费。</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25、其他支出（类）年初预留（款）年初预留（项）。年初预算数为0万元，支出决算数为6万元，主要是消化使用以前年度财政拨款结转资金。</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26、其他支出（类）其他支出（款）其他支出（项）。年初预算数为0万元，支出决算数为3万元，主要是年中追加了专项业务工作经费，同时消化使用以前年度财政拨款结转资金。</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2019年度财政拨款基本支出4062.06万元，其中：人员经费3034.27万元，占基本支出的74.70%,主要包括基本工资、津贴补贴、奖金、绩效工资、社会保障缴费、住房公积金、其他工资福利支出、对个人和家庭补助支出等；公用经费1027.79万元，占基本支出的25.30%，主要包括办公费、印刷费、咨询费、邮电费、物业管理费、差旅费、因公出国（境）费、维修（护）费、会议费、公务接待费、劳务费、工会经费、福利费、公务用车运行维护费、其他交通费用、其他商品和服务支出等。</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“三公”经费财政拨款支出预算为384万元，支出决算为261.06万元，完成预算的67.98%，其中：</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因公出国（境）费支出预算为30万元，支出决算为16.49万元，完成预算的54.97%，决算数小于年初预算数的主要原因是因公出国（境）人次较预计数减少，与上年相比增加11.95万元，增长263.22%,增长的主要原因是出访人次，出访天数、出访国家数均有所增加。</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公务接待费支出预算为100万元，支出决算为49.18万元，完成预算的49.18%，决算数小于年初预算数的主要原因是认真贯彻落实中央“八项规定”精神和厉行节约要求，进一步从严控制“三公”经费开支，与上年相比增加26.06万元，增长112.72%,增长的主要原因：一方面来常出席会议、考察调研、执行公务、学习交流、检查指导、请示汇报工作、招商引资等公务活动较上年增加，公务接待人次增加；一方面新修订的公务接待管理制度对公务活动用餐有关事项进行了进一步明确，公务用餐标准有所提高。</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公务用车购置费及运行维护费支出预算为254万元，支出决算为195.39万元，完成预算的76.93%，决算数小于年初预算数的主要原因是公务车运行维护费用减少，与上年相比减少36.98万元，减少15.91%,减少的主要原因：一方面2018年新购置的7辆公务用车车况较好，维修（护）费用减幅明显；一方面继续加强公务用车管理，车辆燃料费、路桥费等也同比减少。</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2019年度“三公”经费财政拨款支出决算中，公务接待费支出决算49.18万元，占18.84%,因公出国（境）费支出决算16.49万元，占6.32%,公务用车购置费及运行维护费支出决算195.39万元，占74.84%。其中：</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1、因公出国（境）费支出决算为16.49万元，全年安排因公出国（境）团组2个，累计3人次,开支内容包括：</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因公出国（境）支出16.49万元，主要用于市政府领导出访日本支出6.29万元；市政府领导出访巴西、阿根廷、秘鲁支出10.2万元。</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公务接待费支出决算为49.48万元，全年共接待来访团组794个、来宾4330人次，主要是接待省部级及以下人员来常出席会议、考察调研、执行公务、学习交流、检查指导、请示汇报工作、招商引资等公务活动发生的接待支出。</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3、公务用车购置费及运行维护费支出决算为195.39万元，其中：公务用车购置费0万元</w:t>
      </w:r>
      <w:r>
        <w:rPr>
          <w:rFonts w:hint="eastAsia" w:ascii="仿宋" w:hAnsi="仿宋" w:eastAsia="仿宋" w:cs="仿宋"/>
          <w:sz w:val="32"/>
          <w:szCs w:val="32"/>
          <w:lang w:eastAsia="zh-CN"/>
        </w:rPr>
        <w:t>，当年未购置公务用车</w:t>
      </w:r>
      <w:r>
        <w:rPr>
          <w:rFonts w:hint="eastAsia" w:ascii="仿宋" w:hAnsi="仿宋" w:eastAsia="仿宋" w:cs="仿宋"/>
          <w:sz w:val="32"/>
          <w:szCs w:val="32"/>
        </w:rPr>
        <w:t>。公务用车运行维护费195.39万元，主要是公务车维修保养、加油、保险、路桥费及行车安全奖励费用等支出，截止2019年12月31日，我单位开支财政拨款的公务用车保有量为49辆，其中市政府办公室本级16辆，市市直机关公务用车服务管理中心33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ascii="仿宋" w:hAnsi="仿宋" w:eastAsia="仿宋" w:cs="仿宋"/>
          <w:sz w:val="32"/>
          <w:szCs w:val="32"/>
        </w:rPr>
      </w:pPr>
      <w:r>
        <w:rPr>
          <w:rFonts w:hint="eastAsia" w:asciiTheme="minorEastAsia" w:hAnsiTheme="minorEastAsia" w:eastAsiaTheme="minorEastAsia"/>
          <w:sz w:val="32"/>
          <w:szCs w:val="32"/>
        </w:rPr>
        <w:t xml:space="preserve">   </w:t>
      </w:r>
      <w:r>
        <w:rPr>
          <w:rFonts w:hint="eastAsia" w:ascii="仿宋" w:hAnsi="仿宋" w:eastAsia="仿宋" w:cs="仿宋"/>
          <w:sz w:val="32"/>
          <w:szCs w:val="32"/>
        </w:rPr>
        <w:t xml:space="preserve">  2019年度本单位无政府性基金收入，也没有使用政府性基金安排的支出。</w:t>
      </w:r>
    </w:p>
    <w:p>
      <w:pPr>
        <w:pStyle w:val="10"/>
        <w:outlineLvl w:val="0"/>
        <w:rPr>
          <w:rFonts w:hAnsi="黑体"/>
          <w:b/>
          <w:sz w:val="32"/>
          <w:szCs w:val="32"/>
        </w:rPr>
      </w:pPr>
      <w:r>
        <w:rPr>
          <w:rFonts w:hint="eastAsia" w:hAnsi="黑体"/>
          <w:b/>
          <w:sz w:val="32"/>
          <w:szCs w:val="32"/>
        </w:rPr>
        <w:t>九、关于2019年度预算绩效情况说明</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2019年，按照市委、市政府统一部署，市政府办公室紧紧围绕全市中心工作，积极服务“开放强市、产业立市”战略，不断增强服务政府工作、参谋政府要务、处理行政事务的能力，在服务科学决策、狠抓政策落实、推动完成全市经济社会发展各项目标任务发挥了应有的作用，圆满完成了各项工作任务。根据部门整体支出绩效评价指标，我单位2019年部门整体支出绩效自评得分94分。主要扣分项目是预算完成率、预算控制率。主要原因一是年中临时性工作追加经费较多，预算编制的精确性有待进一步提高；二是部分追加预算指标下达的时间较晚，部门资金未能在当年形成支出；三是基本支出预算指标下达靠前、项目支出预算指标下达滞后，有调剂指标使用的情况。</w:t>
      </w:r>
    </w:p>
    <w:p>
      <w:pPr>
        <w:pStyle w:val="10"/>
        <w:outlineLvl w:val="0"/>
        <w:rPr>
          <w:rFonts w:hAnsi="黑体"/>
          <w:b/>
          <w:sz w:val="32"/>
          <w:szCs w:val="32"/>
        </w:rPr>
      </w:pPr>
      <w:r>
        <w:rPr>
          <w:rFonts w:hint="eastAsia" w:hAnsi="黑体"/>
          <w:b/>
          <w:sz w:val="32"/>
          <w:szCs w:val="32"/>
        </w:rPr>
        <w:t>十、其他重要事项情况说明</w:t>
      </w:r>
    </w:p>
    <w:p>
      <w:pPr>
        <w:ind w:firstLine="480" w:firstLineChars="150"/>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 xml:space="preserve">本部门2019年度机关运行经费支出1027.79万元，比年初预算数增加189.19万元，增长22.56%。主要原因是包含了市市直机关公务用车服务管理中心运行经费176.43万元。 </w:t>
      </w:r>
    </w:p>
    <w:p>
      <w:pPr>
        <w:ind w:firstLine="640" w:firstLineChars="200"/>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ascii="仿宋" w:hAnsi="仿宋" w:eastAsia="仿宋" w:cs="仿宋"/>
          <w:color w:val="000000"/>
          <w:kern w:val="0"/>
          <w:sz w:val="32"/>
          <w:szCs w:val="32"/>
        </w:rPr>
        <w:t>2019年本部门开支会议费56.88万元，用于召开市政府全会，市政府常务会议，市政府办及内设科室牵头召开的部门会议；开支培训费11.88万元，用于开展党性教育培训，人数39人，内容为市政府办公室“牢记初心勇担使命 积极作为再创佳绩”党性教育培训。</w:t>
      </w:r>
    </w:p>
    <w:p>
      <w:pPr>
        <w:ind w:firstLine="640" w:firstLineChars="200"/>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本部门2019年度政府采购支出总额336.97万元，其中：政府采购货物支出43.85万元、政府采购工程支出0万元、政府采购服务支出293.12万元。</w:t>
      </w:r>
      <w:r>
        <w:rPr>
          <w:rFonts w:hint="eastAsia" w:ascii="仿宋" w:hAnsi="仿宋" w:eastAsia="仿宋" w:cs="仿宋"/>
          <w:color w:val="000000"/>
          <w:kern w:val="0"/>
          <w:sz w:val="32"/>
          <w:szCs w:val="32"/>
          <w:lang w:eastAsia="zh-CN"/>
        </w:rPr>
        <w:t>其中授予中小企业合同金额</w:t>
      </w:r>
      <w:r>
        <w:rPr>
          <w:rFonts w:hint="eastAsia" w:ascii="仿宋" w:hAnsi="仿宋" w:eastAsia="仿宋" w:cs="仿宋"/>
          <w:color w:val="000000"/>
          <w:kern w:val="0"/>
          <w:sz w:val="32"/>
          <w:szCs w:val="32"/>
          <w:lang w:val="en-US" w:eastAsia="zh-CN"/>
        </w:rPr>
        <w:t>142.53万元，占政府采购支出总额的42.3%，</w:t>
      </w:r>
      <w:r>
        <w:rPr>
          <w:rFonts w:hint="eastAsia" w:ascii="仿宋" w:hAnsi="仿宋" w:eastAsia="仿宋" w:cs="仿宋"/>
          <w:color w:val="000000"/>
          <w:kern w:val="0"/>
          <w:sz w:val="32"/>
          <w:szCs w:val="32"/>
        </w:rPr>
        <w:t>其中：授予小微企业合同金额0万元，占政府采购支出总额的0%</w:t>
      </w:r>
      <w:r>
        <w:rPr>
          <w:rFonts w:hint="eastAsia" w:ascii="仿宋" w:hAnsi="仿宋" w:eastAsia="仿宋" w:cs="仿宋"/>
          <w:color w:val="000000"/>
          <w:kern w:val="0"/>
          <w:sz w:val="32"/>
          <w:szCs w:val="32"/>
          <w:lang w:eastAsia="zh-CN"/>
        </w:rPr>
        <w:t>。</w:t>
      </w:r>
      <w:bookmarkStart w:id="2" w:name="_GoBack"/>
      <w:bookmarkEnd w:id="2"/>
    </w:p>
    <w:p>
      <w:pPr>
        <w:ind w:firstLine="480" w:firstLineChars="150"/>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截至2019年12月31日，本单位共有车辆49辆，其中，领导干部用车1辆、机要通信用车0辆、应急保障用车12辆、执法执勤用车3辆、特种专业技术用车0辆、离退休干部用车3辆，其他用车30辆，其他用车主要是一般公务用车；单位价值50万元以上通用设备6台（套）；单位价值100万元以上专用设备0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2"/>
          <w:szCs w:val="72"/>
        </w:rPr>
      </w:pPr>
    </w:p>
    <w:p>
      <w:pPr>
        <w:jc w:val="center"/>
        <w:outlineLvl w:val="0"/>
        <w:rPr>
          <w:rFonts w:ascii="黑体" w:eastAsia="黑体" w:cs="黑体"/>
          <w:color w:val="000000"/>
          <w:kern w:val="0"/>
          <w:sz w:val="72"/>
          <w:szCs w:val="72"/>
        </w:rPr>
      </w:pPr>
      <w:r>
        <w:rPr>
          <w:rFonts w:hint="eastAsia" w:ascii="黑体" w:eastAsia="黑体" w:cs="黑体"/>
          <w:color w:val="000000"/>
          <w:kern w:val="0"/>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w:t>
      </w:r>
      <w:r>
        <w:rPr>
          <w:rFonts w:ascii="仿宋" w:hAnsi="仿宋" w:eastAsia="仿宋" w:cs="仿宋"/>
          <w:color w:val="000000"/>
          <w:kern w:val="0"/>
          <w:sz w:val="32"/>
          <w:szCs w:val="32"/>
        </w:rPr>
        <w:t>1.基本支出：是指为保障机构正常运转、完成日常工作任务而发生的人员支出和公用支出。</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w:t>
      </w:r>
      <w:r>
        <w:rPr>
          <w:rFonts w:ascii="仿宋" w:hAnsi="仿宋" w:eastAsia="仿宋" w:cs="仿宋"/>
          <w:color w:val="000000"/>
          <w:kern w:val="0"/>
          <w:sz w:val="32"/>
          <w:szCs w:val="32"/>
        </w:rPr>
        <w:t>项目支出：是指在基本支出之外为完成特定行政任务和事业发展目标所发生的支出。</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三、</w:t>
      </w:r>
      <w:r>
        <w:rPr>
          <w:rFonts w:ascii="仿宋" w:hAnsi="仿宋" w:eastAsia="仿宋" w:cs="仿宋"/>
          <w:color w:val="000000"/>
          <w:kern w:val="0"/>
          <w:sz w:val="32"/>
          <w:szCs w:val="32"/>
        </w:rPr>
        <w:t>“三公”经费：纳入市财政预算管理的“三公”经费，是指用市直部门用一般公共预算拨款安排的公务接待费、公务用车购置及运行维护费和因公出国（境）费。其中，公务接待费反映单位按规定开支的各类公务接待（含外宾接待）支出；公务用车购置及运行费反映单位公务用车车辆购置支出（含车辆购置税），以及燃料费、维修费、过路过桥费、保险费、安全奖励费用等支出；因公出国（境）费反映单位公务出国（境）的国际旅费、国外城市间交通费、住宿费、伙食费、培训费等支出。</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四、</w:t>
      </w:r>
      <w:r>
        <w:rPr>
          <w:rFonts w:ascii="仿宋" w:hAnsi="仿宋" w:eastAsia="仿宋" w:cs="仿宋"/>
          <w:color w:val="000000"/>
          <w:kern w:val="0"/>
          <w:sz w:val="32"/>
          <w:szCs w:val="32"/>
        </w:rPr>
        <w:t>机关（单位）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cs="仿宋"/>
          <w:color w:val="000000"/>
          <w:kern w:val="0"/>
          <w:sz w:val="32"/>
          <w:szCs w:val="32"/>
        </w:rPr>
      </w:pP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2"/>
          <w:szCs w:val="72"/>
        </w:rPr>
      </w:pPr>
    </w:p>
    <w:p>
      <w:pPr>
        <w:jc w:val="center"/>
        <w:outlineLvl w:val="0"/>
        <w:rPr>
          <w:rFonts w:ascii="黑体" w:eastAsia="黑体" w:cs="黑体"/>
          <w:color w:val="000000"/>
          <w:kern w:val="0"/>
          <w:sz w:val="72"/>
          <w:szCs w:val="72"/>
        </w:rPr>
      </w:pPr>
      <w:r>
        <w:rPr>
          <w:rFonts w:hint="eastAsia" w:ascii="黑体" w:eastAsia="黑体" w:cs="黑体"/>
          <w:color w:val="000000"/>
          <w:kern w:val="0"/>
          <w:sz w:val="72"/>
          <w:szCs w:val="72"/>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880" w:firstLineChars="200"/>
        <w:jc w:val="center"/>
        <w:outlineLvl w:val="0"/>
        <w:rPr>
          <w:rFonts w:hint="eastAsia"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市政府办公室本级2019年度部门整体支出</w:t>
      </w:r>
    </w:p>
    <w:p>
      <w:pPr>
        <w:ind w:firstLine="880" w:firstLineChars="200"/>
        <w:jc w:val="center"/>
        <w:outlineLvl w:val="0"/>
        <w:rPr>
          <w:rFonts w:hint="eastAsia"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绩效评价报告</w:t>
      </w:r>
    </w:p>
    <w:p>
      <w:pPr>
        <w:ind w:firstLine="880" w:firstLineChars="200"/>
        <w:jc w:val="center"/>
        <w:outlineLvl w:val="0"/>
        <w:rPr>
          <w:rFonts w:hint="eastAsia" w:cs="黑体" w:asciiTheme="minorEastAsia" w:hAnsiTheme="minorEastAsia"/>
          <w:b/>
          <w:color w:val="000000"/>
          <w:kern w:val="0"/>
          <w:sz w:val="44"/>
          <w:szCs w:val="44"/>
        </w:rPr>
      </w:pPr>
    </w:p>
    <w:p>
      <w:pPr>
        <w:ind w:firstLine="640" w:firstLineChars="200"/>
        <w:rPr>
          <w:rFonts w:ascii="Times New Roman" w:hAnsi="Times New Roman" w:eastAsia="黑体" w:cs="宋体"/>
          <w:b/>
          <w:sz w:val="32"/>
          <w:szCs w:val="32"/>
        </w:rPr>
      </w:pPr>
      <w:r>
        <w:rPr>
          <w:rFonts w:hint="eastAsia" w:ascii="Times New Roman" w:hAnsi="Times New Roman" w:eastAsia="黑体" w:cs="宋体"/>
          <w:b/>
          <w:sz w:val="32"/>
          <w:szCs w:val="32"/>
        </w:rPr>
        <w:t>一、部门概况</w:t>
      </w:r>
    </w:p>
    <w:p>
      <w:pPr>
        <w:spacing w:line="60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 机构、人员构成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市人民政府办公室是财政拨款一级预算单位，实行财务独立核算。现有</w:t>
      </w:r>
      <w:r>
        <w:rPr>
          <w:rFonts w:hint="eastAsia" w:ascii="仿宋_GB2312" w:hAnsi="方正大标宋简体" w:eastAsia="仿宋_GB2312" w:cs="Times New Roman"/>
          <w:sz w:val="32"/>
          <w:szCs w:val="32"/>
        </w:rPr>
        <w:t>内设机构22个，分别是值班室、秘书一科、秘书二科、秘书三科、秘书四科、秘书五科、秘书六科、秘书七科、秘书八科、综合科、督查室、政务信息科、法制科、人事科、财务科、建议提案办理科、市长热线办、公共资源交易管理科、优化经济发展环境科、信息技术科、保卫科、机关事务科；除上述内设机构外，还设有离退休人员管理科、机关党委、车队。另有市社会求助服务中心、市政府机关后勤服务中心2家所属事业单位。</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2019年末共有人员256人。其中：在编在职126人，离退休人员89人，临聘人员41人。</w:t>
      </w:r>
    </w:p>
    <w:p>
      <w:pPr>
        <w:ind w:firstLine="640" w:firstLineChars="200"/>
        <w:rPr>
          <w:rFonts w:ascii="Times New Roman" w:hAnsi="Times New Roman" w:eastAsia="楷体" w:cs="宋体"/>
          <w:b/>
          <w:bCs/>
          <w:sz w:val="32"/>
          <w:szCs w:val="32"/>
        </w:rPr>
      </w:pPr>
      <w:r>
        <w:rPr>
          <w:rFonts w:hint="eastAsia" w:ascii="Times New Roman" w:hAnsi="Times New Roman" w:eastAsia="楷体" w:cs="宋体"/>
          <w:b/>
          <w:bCs/>
          <w:sz w:val="32"/>
          <w:szCs w:val="32"/>
        </w:rPr>
        <w:t>（二） 单位主要职责</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常德市人民政府办公室（简称市政府办）是市政府工作部门，为正处级。主要职责是：　</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1、协助市人民政府领导同志指导、协调、督促、检查市人民政府部门工作。</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2、协助市人民政府领导同志组织起草或审核以市人民政府、市人民政府办公室名义发布的公文。</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3、研究市人民政府各部门和各区县（市）人民政府请示市人民政府的事项，提出审核意见，或对市人民政府部门间的分歧事项提出处理意见，报市人民政府领导同志审批、决定。</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4、负责市人民政府会议和重大活动的组织和服务工作，协助市人民政府领导同志组织实施会议决定事项。</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5、负责市人民政府值班工作，及时报告重要情况，传达和督促落实市人民政府领导同志指示。</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6、督促检查市人民政府各部门和各区县（市）人民政府对市人民政府决定事项及市人民政府领导同志有关指示的贯彻落实情况，及时向市人民政府领导同志报告。</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7、负责省市重点民生实事工作的指导、督促、协调、考核。</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8、负责受理、处理市民对市人民政府及市人民政府工作部门和区县（市）人民政府的批评、意见和建议。</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负责全市公共资源交易的组织、指导、协调；牵头组织行政监督部门拟订公共资源交易规范性文件；负责监督公共资源交易平台管理服务情况，对行政监督部门有关监督执法活动实施再监督；承担市公共资源交易管理委员会日常工作。</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10、负责推进全市优化营商环境工作，指导区县（市）人民政府相关工作。</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11、组织办理人大代表建议、政协委员提案；督促检查市人民政府各部门贯彻落实市人大常委会决定、决议的情况。</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12、负责市人民政府机关大院的行政事务、综合治理、安全保卫和有关接待工作。</w:t>
      </w:r>
    </w:p>
    <w:p>
      <w:pPr>
        <w:pStyle w:val="5"/>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13、完成市委、市人民政府交办的其他事项。</w:t>
      </w:r>
    </w:p>
    <w:p>
      <w:pPr>
        <w:ind w:firstLine="640" w:firstLineChars="200"/>
        <w:rPr>
          <w:rFonts w:ascii="Times New Roman" w:hAnsi="Times New Roman" w:eastAsia="黑体" w:cs="宋体"/>
          <w:b/>
          <w:bCs/>
          <w:sz w:val="32"/>
          <w:szCs w:val="32"/>
        </w:rPr>
      </w:pPr>
      <w:r>
        <w:rPr>
          <w:rFonts w:hint="eastAsia" w:ascii="Times New Roman" w:hAnsi="Times New Roman" w:eastAsia="黑体" w:cs="宋体"/>
          <w:b/>
          <w:bCs/>
          <w:sz w:val="32"/>
          <w:szCs w:val="32"/>
        </w:rPr>
        <w:t>二、部门财务情况</w:t>
      </w:r>
    </w:p>
    <w:p>
      <w:pPr>
        <w:spacing w:line="60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（一）部门整体支出情况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2019年财政拨款总收入4655.43万元，且全部为一般公共预算财政拨款收入，无政府性基金预算财政拨款收入。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2019年财政拨款总支出4834.32万元，其中基本支出3789.38万元，项目支出1044.94万元。</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基本支出情况：主要是是保障机构正常运转、完成日常工作任务而发生的各项支出，包括用于在职和离退休人员基本工资、津贴补贴等人员经费以及办公费、印刷费、水电费、办公设备购置等日常公用经费。2019年基本支出总额3789.38万元，其中：工资福利支出2377.27万元、对个人和家庭的补助支出560.75万元，人员经费占基本支出的77.53%。日常公用经费851.36万元，占基本支出的22.47%。</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支出情况：主要是指单位为完成特定行政工作任务或事业发展目标而发生的支出。2019年项目支出总额1044.94万元，主要用于综合调研、大型会议、院士专家联络、老干活动、市长热线、政府信息工作、优化发展环境、公共资源交易管理、提案办理、水电气支出、院落维修改造等方面。</w:t>
      </w:r>
    </w:p>
    <w:p>
      <w:pPr>
        <w:spacing w:line="60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（二）部门预算收支决算情况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2019年度预算、决算、结余对比情况表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60"/>
        <w:gridCol w:w="1080"/>
        <w:gridCol w:w="1260"/>
        <w:gridCol w:w="1502"/>
        <w:gridCol w:w="171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vAlign w:val="center"/>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 目</w:t>
            </w:r>
          </w:p>
        </w:tc>
        <w:tc>
          <w:tcPr>
            <w:tcW w:w="5102" w:type="dxa"/>
            <w:gridSpan w:val="4"/>
            <w:vAlign w:val="center"/>
          </w:tcPr>
          <w:p>
            <w:pPr>
              <w:spacing w:line="600" w:lineRule="exact"/>
              <w:ind w:firstLine="1680" w:firstLineChars="6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预算金额</w:t>
            </w:r>
          </w:p>
        </w:tc>
        <w:tc>
          <w:tcPr>
            <w:tcW w:w="1710" w:type="dxa"/>
            <w:vMerge w:val="restart"/>
            <w:vAlign w:val="center"/>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决算</w:t>
            </w:r>
          </w:p>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金额</w:t>
            </w:r>
          </w:p>
        </w:tc>
        <w:tc>
          <w:tcPr>
            <w:tcW w:w="1575" w:type="dxa"/>
            <w:vMerge w:val="restart"/>
            <w:vAlign w:val="center"/>
          </w:tcPr>
          <w:p>
            <w:pPr>
              <w:spacing w:line="6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执行差异</w:t>
            </w:r>
          </w:p>
          <w:p>
            <w:pPr>
              <w:spacing w:line="6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（预算-决算）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Pr>
          <w:p>
            <w:pPr>
              <w:spacing w:line="600" w:lineRule="exact"/>
              <w:ind w:firstLine="560" w:firstLineChars="200"/>
              <w:rPr>
                <w:rFonts w:ascii="Times New Roman" w:hAnsi="Times New Roman" w:eastAsia="仿宋_GB2312" w:cs="Times New Roman"/>
                <w:sz w:val="28"/>
                <w:szCs w:val="28"/>
              </w:rPr>
            </w:pPr>
          </w:p>
        </w:tc>
        <w:tc>
          <w:tcPr>
            <w:tcW w:w="1260" w:type="dxa"/>
            <w:vAlign w:val="center"/>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年初</w:t>
            </w:r>
          </w:p>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预算</w:t>
            </w:r>
          </w:p>
        </w:tc>
        <w:tc>
          <w:tcPr>
            <w:tcW w:w="1080" w:type="dxa"/>
            <w:vAlign w:val="center"/>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上年</w:t>
            </w:r>
          </w:p>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结转</w:t>
            </w:r>
          </w:p>
        </w:tc>
        <w:tc>
          <w:tcPr>
            <w:tcW w:w="1260" w:type="dxa"/>
            <w:vAlign w:val="center"/>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本年</w:t>
            </w:r>
          </w:p>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追加</w:t>
            </w:r>
          </w:p>
        </w:tc>
        <w:tc>
          <w:tcPr>
            <w:tcW w:w="1502" w:type="dxa"/>
            <w:vAlign w:val="center"/>
          </w:tcPr>
          <w:p>
            <w:pPr>
              <w:spacing w:line="6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预算可用指标</w:t>
            </w:r>
          </w:p>
        </w:tc>
        <w:tc>
          <w:tcPr>
            <w:tcW w:w="1710" w:type="dxa"/>
            <w:vMerge w:val="continue"/>
          </w:tcPr>
          <w:p>
            <w:pPr>
              <w:spacing w:line="600" w:lineRule="exact"/>
              <w:ind w:firstLine="640" w:firstLineChars="200"/>
              <w:rPr>
                <w:rFonts w:ascii="Times New Roman" w:hAnsi="Times New Roman" w:eastAsia="仿宋_GB2312" w:cs="Times New Roman"/>
                <w:sz w:val="32"/>
                <w:szCs w:val="32"/>
              </w:rPr>
            </w:pPr>
          </w:p>
        </w:tc>
        <w:tc>
          <w:tcPr>
            <w:tcW w:w="1575" w:type="dxa"/>
            <w:vMerge w:val="continue"/>
          </w:tcPr>
          <w:p>
            <w:pPr>
              <w:spacing w:line="600" w:lineRule="exact"/>
              <w:ind w:firstLine="640" w:firstLineChars="20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基本支出</w:t>
            </w:r>
          </w:p>
        </w:tc>
        <w:tc>
          <w:tcPr>
            <w:tcW w:w="126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3087.32</w:t>
            </w:r>
          </w:p>
        </w:tc>
        <w:tc>
          <w:tcPr>
            <w:tcW w:w="108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281.65</w:t>
            </w:r>
          </w:p>
        </w:tc>
        <w:tc>
          <w:tcPr>
            <w:tcW w:w="126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498.30</w:t>
            </w:r>
          </w:p>
        </w:tc>
        <w:tc>
          <w:tcPr>
            <w:tcW w:w="1502"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3867.27</w:t>
            </w:r>
          </w:p>
        </w:tc>
        <w:tc>
          <w:tcPr>
            <w:tcW w:w="171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3789.38</w:t>
            </w:r>
          </w:p>
        </w:tc>
        <w:tc>
          <w:tcPr>
            <w:tcW w:w="1575"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项目支出</w:t>
            </w:r>
          </w:p>
        </w:tc>
        <w:tc>
          <w:tcPr>
            <w:tcW w:w="126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1285.85</w:t>
            </w:r>
          </w:p>
        </w:tc>
        <w:tc>
          <w:tcPr>
            <w:tcW w:w="108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388.45</w:t>
            </w:r>
          </w:p>
        </w:tc>
        <w:tc>
          <w:tcPr>
            <w:tcW w:w="126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-216.05</w:t>
            </w:r>
          </w:p>
        </w:tc>
        <w:tc>
          <w:tcPr>
            <w:tcW w:w="1502"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1458.25</w:t>
            </w:r>
          </w:p>
        </w:tc>
        <w:tc>
          <w:tcPr>
            <w:tcW w:w="171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1044.94</w:t>
            </w:r>
          </w:p>
        </w:tc>
        <w:tc>
          <w:tcPr>
            <w:tcW w:w="1575"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合 计</w:t>
            </w:r>
          </w:p>
        </w:tc>
        <w:tc>
          <w:tcPr>
            <w:tcW w:w="126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4373.17</w:t>
            </w:r>
          </w:p>
        </w:tc>
        <w:tc>
          <w:tcPr>
            <w:tcW w:w="108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670.10</w:t>
            </w:r>
          </w:p>
        </w:tc>
        <w:tc>
          <w:tcPr>
            <w:tcW w:w="126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282.25</w:t>
            </w:r>
          </w:p>
        </w:tc>
        <w:tc>
          <w:tcPr>
            <w:tcW w:w="1502"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5325.52</w:t>
            </w:r>
          </w:p>
        </w:tc>
        <w:tc>
          <w:tcPr>
            <w:tcW w:w="1710"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4834.32</w:t>
            </w:r>
          </w:p>
        </w:tc>
        <w:tc>
          <w:tcPr>
            <w:tcW w:w="1575"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491.20</w:t>
            </w:r>
          </w:p>
        </w:tc>
      </w:tr>
    </w:tbl>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（三）“三公经费”支出使用和管理情况</w:t>
      </w:r>
    </w:p>
    <w:p>
      <w:pPr>
        <w:spacing w:line="600" w:lineRule="exact"/>
        <w:ind w:firstLine="2560" w:firstLineChars="8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2019年度“三公”经费开支情况表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9"/>
        <w:gridCol w:w="2036"/>
        <w:gridCol w:w="174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vAlign w:val="center"/>
          </w:tcPr>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  目</w:t>
            </w:r>
          </w:p>
        </w:tc>
        <w:tc>
          <w:tcPr>
            <w:tcW w:w="2036" w:type="dxa"/>
            <w:vAlign w:val="center"/>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2019年</w:t>
            </w:r>
          </w:p>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决算金额</w:t>
            </w:r>
          </w:p>
        </w:tc>
        <w:tc>
          <w:tcPr>
            <w:tcW w:w="1740" w:type="dxa"/>
            <w:vAlign w:val="center"/>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2018年</w:t>
            </w:r>
          </w:p>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决算金额</w:t>
            </w:r>
          </w:p>
        </w:tc>
        <w:tc>
          <w:tcPr>
            <w:tcW w:w="2925" w:type="dxa"/>
            <w:vAlign w:val="center"/>
          </w:tcPr>
          <w:p>
            <w:pPr>
              <w:spacing w:line="600" w:lineRule="exact"/>
              <w:ind w:left="280" w:hanging="280" w:hanging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增减情况（2019-2018）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公务接待费</w:t>
            </w:r>
          </w:p>
        </w:tc>
        <w:tc>
          <w:tcPr>
            <w:tcW w:w="2036"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45.53</w:t>
            </w:r>
          </w:p>
        </w:tc>
        <w:tc>
          <w:tcPr>
            <w:tcW w:w="1740" w:type="dxa"/>
          </w:tcPr>
          <w:p>
            <w:pPr>
              <w:spacing w:line="60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23.12</w:t>
            </w:r>
          </w:p>
        </w:tc>
        <w:tc>
          <w:tcPr>
            <w:tcW w:w="2925" w:type="dxa"/>
          </w:tcPr>
          <w:p>
            <w:pPr>
              <w:spacing w:line="60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spacing w:line="600" w:lineRule="exact"/>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公务车运行维护费</w:t>
            </w:r>
          </w:p>
        </w:tc>
        <w:tc>
          <w:tcPr>
            <w:tcW w:w="2036" w:type="dxa"/>
          </w:tcPr>
          <w:p>
            <w:pPr>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78.72</w:t>
            </w:r>
          </w:p>
        </w:tc>
        <w:tc>
          <w:tcPr>
            <w:tcW w:w="1740" w:type="dxa"/>
          </w:tcPr>
          <w:p>
            <w:pPr>
              <w:spacing w:line="60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146.98</w:t>
            </w:r>
          </w:p>
        </w:tc>
        <w:tc>
          <w:tcPr>
            <w:tcW w:w="2925" w:type="dxa"/>
          </w:tcPr>
          <w:p>
            <w:pPr>
              <w:spacing w:line="60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069" w:type="dxa"/>
            <w:vAlign w:val="center"/>
          </w:tcPr>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因公出国（出境）费用</w:t>
            </w:r>
          </w:p>
        </w:tc>
        <w:tc>
          <w:tcPr>
            <w:tcW w:w="2036" w:type="dxa"/>
          </w:tcPr>
          <w:p>
            <w:pPr>
              <w:spacing w:line="600" w:lineRule="exact"/>
              <w:ind w:firstLine="280" w:firstLineChars="1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16.49</w:t>
            </w:r>
          </w:p>
        </w:tc>
        <w:tc>
          <w:tcPr>
            <w:tcW w:w="1740" w:type="dxa"/>
          </w:tcPr>
          <w:p>
            <w:pPr>
              <w:spacing w:line="60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4.54</w:t>
            </w:r>
          </w:p>
        </w:tc>
        <w:tc>
          <w:tcPr>
            <w:tcW w:w="2925" w:type="dxa"/>
          </w:tcPr>
          <w:p>
            <w:pPr>
              <w:spacing w:line="60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合  计</w:t>
            </w:r>
          </w:p>
        </w:tc>
        <w:tc>
          <w:tcPr>
            <w:tcW w:w="2036" w:type="dxa"/>
          </w:tcPr>
          <w:p>
            <w:pPr>
              <w:spacing w:line="600" w:lineRule="exact"/>
              <w:ind w:firstLine="280" w:firstLineChars="1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140.74</w:t>
            </w:r>
          </w:p>
        </w:tc>
        <w:tc>
          <w:tcPr>
            <w:tcW w:w="1740" w:type="dxa"/>
          </w:tcPr>
          <w:p>
            <w:pPr>
              <w:spacing w:line="60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163.42</w:t>
            </w:r>
          </w:p>
        </w:tc>
        <w:tc>
          <w:tcPr>
            <w:tcW w:w="2925" w:type="dxa"/>
          </w:tcPr>
          <w:p>
            <w:pPr>
              <w:spacing w:line="600" w:lineRule="exact"/>
              <w:ind w:firstLine="560" w:firstLineChars="20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-22.68</w:t>
            </w:r>
          </w:p>
        </w:tc>
      </w:tr>
    </w:tbl>
    <w:p>
      <w:pPr>
        <w:ind w:firstLine="640" w:firstLineChars="200"/>
        <w:rPr>
          <w:rFonts w:ascii="Times New Roman" w:hAnsi="Times New Roman" w:eastAsia="仿宋" w:cs="宋体"/>
          <w:sz w:val="32"/>
          <w:szCs w:val="32"/>
        </w:rPr>
      </w:pPr>
      <w:r>
        <w:rPr>
          <w:rFonts w:hint="eastAsia" w:ascii="Times New Roman" w:hAnsi="Times New Roman" w:eastAsia="仿宋_GB2312" w:cs="Times New Roman"/>
          <w:sz w:val="32"/>
          <w:szCs w:val="32"/>
        </w:rPr>
        <w:t>2019年度公共预算财政拨款“三公”经费支出140.74万元，比上年减少22.68万元，下降13.88%，其中公务接待费同比增加22.41万元，主要是公务接待标准提高；公务车运行维护费总额同比减少68.26万元，主要是本年未购置新车；因公出国（境）费同比增加11.95万元，主要原因为本年出境人次、费用都相应增加。2019年，我办继续从严执行“三公”经费管理相关规定，“三公”经费总额保持逐年下降趋势。</w:t>
      </w:r>
    </w:p>
    <w:p>
      <w:pPr>
        <w:ind w:firstLine="640" w:firstLineChars="200"/>
        <w:rPr>
          <w:rFonts w:ascii="Times New Roman" w:hAnsi="Times New Roman" w:eastAsia="黑体" w:cs="宋体"/>
          <w:b/>
          <w:sz w:val="32"/>
          <w:szCs w:val="32"/>
        </w:rPr>
      </w:pPr>
      <w:r>
        <w:rPr>
          <w:rFonts w:hint="eastAsia" w:ascii="Times New Roman" w:hAnsi="Times New Roman" w:eastAsia="黑体" w:cs="宋体"/>
          <w:b/>
          <w:sz w:val="32"/>
          <w:szCs w:val="32"/>
        </w:rPr>
        <w:t>三、部门绩效目标</w:t>
      </w:r>
    </w:p>
    <w:p>
      <w:pPr>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（一）部门绩效总目标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深入</w:t>
      </w:r>
      <w:r>
        <w:rPr>
          <w:rFonts w:ascii="Times New Roman" w:hAnsi="Times New Roman" w:eastAsia="仿宋_GB2312"/>
          <w:sz w:val="32"/>
          <w:szCs w:val="32"/>
        </w:rPr>
        <w:t>贯彻落实习近平新时代中国特色社会主义思想和党的十九届二中、三中、四中全会精神，树牢“四个意识”，坚定“四个自信”，坚决做到“两个维护”，深入开展“不忘初心、牢记使命”主题教育，紧紧围绕全市中心工作，不断增强服务政府工作、参谋政府要务、处理行政事务的能力，</w:t>
      </w:r>
      <w:r>
        <w:rPr>
          <w:rFonts w:hint="eastAsia" w:ascii="Times New Roman" w:hAnsi="Times New Roman" w:eastAsia="仿宋_GB2312" w:cs="Times New Roman"/>
          <w:sz w:val="32"/>
          <w:szCs w:val="32"/>
        </w:rPr>
        <w:t>努力开创办公室工作更新更好局面，在开放强市、产业立市中发挥积极作用。</w:t>
      </w:r>
    </w:p>
    <w:p>
      <w:pPr>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（二）2019年度部门绩效目标</w:t>
      </w:r>
    </w:p>
    <w:p>
      <w:pPr>
        <w:numPr>
          <w:ilvl w:val="0"/>
          <w:numId w:val="3"/>
        </w:num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提高文稿质量。文字材料出精品、调查研究出成果、公文办理出质效。</w:t>
      </w:r>
    </w:p>
    <w:p>
      <w:pPr>
        <w:numPr>
          <w:ilvl w:val="0"/>
          <w:numId w:val="3"/>
        </w:num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强化信息专报。继续保持信息工作全省先进。</w:t>
      </w:r>
    </w:p>
    <w:p>
      <w:pPr>
        <w:numPr>
          <w:ilvl w:val="0"/>
          <w:numId w:val="3"/>
        </w:num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狠抓推行落实。集中力量抓好市委市政府重大决策部署、市政府工作要点、产业立市三年行动、重大项目建设等工作的督查督办以及会议议定事项、市长交办事项和领导批示的督查督办。加强和改进人大、政协联络工作，进一步加大建议提案办理力度。提升热线平台功能，加强市民诉求办理督办，进一步提高诉求办结率和市民满意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4、强化运转保障。切实抓好各项政务和事务服务，做到零漏洞、零差错、零失误，确保政府机关规范、稳定、高效运转。</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5、抓好中心工作。抓好脱贫攻坚、美丽乡村、招商引资等各项中心任务，力争出成效、上水平。</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优化发展环境。大力整治行政执法环境、项目建设环境、办事服务环境，严厉查处破坏产业环境、侵害企业合法权益的行为，推动全市产业环境大转变、大改观，为推进开放强市产业立市提供优良的环境保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7、改进工作作风。落实改进作风的各项规定，落实市政府领导提出的要求，不断改进工作作风、提升工作效率。   </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党风廉政建设方面。认真落实全面从严治党要求，严格履行党风廉政建设主体责任和“一岗双责”，进一步强化党建工作责任，落实落细领导干部谈心谈话、个人事项报告等制度规定。深入开展“不忘初心、牢记使命”主题教育。</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9、提升干部素质。坚持学在前、走在前，真正做到“开口能说、提笔能写、问策能对、遇事能办”。</w:t>
      </w:r>
    </w:p>
    <w:p>
      <w:pPr>
        <w:ind w:firstLine="640" w:firstLineChars="200"/>
        <w:rPr>
          <w:rFonts w:ascii="Times New Roman" w:hAnsi="Times New Roman" w:eastAsia="黑体" w:cs="宋体"/>
          <w:b/>
          <w:sz w:val="32"/>
          <w:szCs w:val="32"/>
        </w:rPr>
      </w:pPr>
      <w:r>
        <w:rPr>
          <w:rFonts w:hint="eastAsia" w:ascii="Times New Roman" w:hAnsi="Times New Roman" w:eastAsia="黑体" w:cs="宋体"/>
          <w:b/>
          <w:sz w:val="32"/>
          <w:szCs w:val="32"/>
        </w:rPr>
        <w:t>四、部门绩效评价工作情况及综合评价结果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办对照《部门整体支出绩效评价指标》认真开展了自评，自评得分为94分，主要扣分项目为预算完成率扣4分，预算控制率扣1分，公用经费控制率扣1分，自评结果为“优秀”。总体来说，各项工作推行情况较好。</w:t>
      </w:r>
    </w:p>
    <w:p>
      <w:pPr>
        <w:ind w:firstLine="640" w:firstLineChars="200"/>
        <w:rPr>
          <w:rFonts w:ascii="Times New Roman" w:hAnsi="Times New Roman" w:eastAsia="仿宋_GB2312"/>
          <w:sz w:val="32"/>
          <w:szCs w:val="32"/>
        </w:rPr>
      </w:pPr>
      <w:r>
        <w:rPr>
          <w:rFonts w:hint="eastAsia" w:ascii="Times New Roman" w:hAnsi="Times New Roman" w:eastAsia="黑体" w:cs="宋体"/>
          <w:b/>
          <w:bCs/>
          <w:sz w:val="32"/>
          <w:szCs w:val="32"/>
        </w:rPr>
        <w:t xml:space="preserve">五、部门整体支出绩效情况 </w:t>
      </w:r>
    </w:p>
    <w:p>
      <w:pPr>
        <w:spacing w:line="560"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（一）参谋辅政质量进一步提高。</w:t>
      </w:r>
      <w:r>
        <w:rPr>
          <w:rFonts w:ascii="Times New Roman" w:hAnsi="Times New Roman" w:eastAsia="仿宋_GB2312"/>
          <w:sz w:val="32"/>
          <w:szCs w:val="32"/>
        </w:rPr>
        <w:t>一是深入调查研究。市政府办公室领导班子成员通过深入基层一线，及时掌握和发现经济社会发展中的新情况、新事物、新经验，围绕全市重点工作和群众普遍关心的问题，深入基层和企业一线，组织开展真抓实干表扬激励、乡村医疗卫生事业发展、重点民生实事等课题调研，多项调研成果进入领导决策视野并转换成为党委政府文件。二是加强信息服务。对政务信息超前谋划、深入挖掘，不断拓宽信息来源渠道，加强对区县市和市直单位政务信息的考核评比，充分运用《政务要情与交流》《常德要情》等载体，加强信息交流，提高信息质量，全年共有118条信息被国务院办公厅、省政府办公厅简报刊物采用，较好地发挥了推介常德和参谋辅政的作用。三是优化政务服务。以规范服务、优质服务、高效服务为目标，狠抓服务水平提升，先后在公文流转、请示件办理、拟办意见撰写等方面，开展专门培训，出台相关内部管理制度。注重沟通协调，特别是在全省深化“一件事一次办”改革现场推进会、全国第四次经济普查、“放管服”改革、城区文明养犬等工作上，加强工作沟通，积极主动协调，得到了各级领导的充分肯定。</w:t>
      </w:r>
    </w:p>
    <w:p>
      <w:pPr>
        <w:spacing w:line="560"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（二）</w:t>
      </w:r>
      <w:r>
        <w:rPr>
          <w:rFonts w:ascii="黑体" w:hAnsi="Times New Roman" w:eastAsia="黑体"/>
          <w:sz w:val="32"/>
          <w:szCs w:val="32"/>
        </w:rPr>
        <w:t>督查督办力度进一步增强。</w:t>
      </w:r>
      <w:r>
        <w:rPr>
          <w:rFonts w:ascii="Times New Roman" w:hAnsi="Times New Roman" w:eastAsia="仿宋_GB2312"/>
          <w:sz w:val="32"/>
          <w:szCs w:val="32"/>
        </w:rPr>
        <w:t>认真贯彻落实市委市政府各项决策部署，充分发挥督查“利剑”作用，强力推动各项决策落实落地。切实抓好上级督查的配合工作，2019年配合完成了省政府重点工作真抓实干综合大督查等上级督查，积极向上汇报推荐了我市“一件事一次办”改革等特色亮点工作。切实抓好上级交办工作落实情况的督查，国务院“互联网+督查”交办件、省领导批示件、省政府督查室交办件涉及的29个事项均已全部办结。切实抓好本级决策督查，全年围绕市政府工作要点、市政府全会、市政府常务会议议定事项落实情况开展督查20余次。切实抓好市长批示件和交办件督查，93件市长批示件的督查已办结88件，办结率94.6%。突出真抓实干督查，对国、省真抓实干表扬激励事项细化分解，实行周调度、周报告，强力督导，2019年我市在省真抓实干表扬激励中获得33次表扬。</w:t>
      </w:r>
    </w:p>
    <w:p>
      <w:pPr>
        <w:spacing w:line="560"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（三）</w:t>
      </w:r>
      <w:r>
        <w:rPr>
          <w:rFonts w:ascii="黑体" w:hAnsi="Times New Roman" w:eastAsia="黑体"/>
          <w:sz w:val="32"/>
          <w:szCs w:val="32"/>
        </w:rPr>
        <w:t>减文减会幅度进一步加大。</w:t>
      </w:r>
      <w:r>
        <w:rPr>
          <w:rFonts w:ascii="Times New Roman" w:hAnsi="Times New Roman" w:eastAsia="仿宋_GB2312"/>
          <w:sz w:val="32"/>
          <w:szCs w:val="32"/>
        </w:rPr>
        <w:t>坚决落实中央关于“基层减负年”的要求，不断加强对文件和会议的管理，从严控制数量，减少“文山会海”。2019年，严格落实发文计划制度、严格控制发文规格、严格控制文件篇幅，全年以市政府和市政府办公室名义印发的文件数量较上年减少20%，其中下发至区县市的文件数量减少33.6%，会议通知减少42.8%。以“少开会、开短会”为抓手，大力压减会议数量和规模。市政府七届六次全会暨政府系统工作会议采取“多会合一”的做法，受到各方欢迎和好评。《湖南日报》以《没有套话 只有干货——常德“多会合一”干净利落》为题进行了报道，新华社配发短评进行了转载，《人民日报》在题为《干部状态新观察·基层减负进行时：文山会海怎么减》的报道中，3次提到常德，推介了我市整治文山会海、为基层干部减负的做法和成效。严格执行督查检查考核年度计划和审批报备制度，切实减轻基层督导考核迎检负担。2019年，市政府督查室牵头开展或参与督查检查12项，比上年减少80%。</w:t>
      </w:r>
    </w:p>
    <w:p>
      <w:pPr>
        <w:spacing w:line="560"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（四）</w:t>
      </w:r>
      <w:r>
        <w:rPr>
          <w:rFonts w:ascii="黑体" w:hAnsi="Times New Roman" w:eastAsia="黑体"/>
          <w:sz w:val="32"/>
          <w:szCs w:val="32"/>
        </w:rPr>
        <w:t>为民解难成果进一步显现。</w:t>
      </w:r>
      <w:r>
        <w:rPr>
          <w:rFonts w:ascii="Times New Roman" w:hAnsi="Times New Roman" w:eastAsia="仿宋_GB2312"/>
          <w:sz w:val="32"/>
          <w:szCs w:val="32"/>
        </w:rPr>
        <w:t>民生实事办理方面，全面完成了省市重点民生实事，特别是逐步解决了农村教师周转房建设、农村事故多发路段改造、“三小”食品安全监管、老旧小区改造等10件群众反映最强烈、最期盼、受益最直接的民生问题。建议提案办理方面，2019年，全市政府系统共承办省市建议提案627件，办结率、见面沟通率、满意或基本满意率均达到100%。市民投诉办理方面，全年接听市民来电36.8万件，处理各类网络诉求1.5万件，办理省政府办公厅、省行政审批局来函29件。优化经济环境方面，先后围绕取消证明材料落实情况、优化发展环境等内容进行了2次全面暗访，并拍摄视频在全市政务服务会议上播放，达到了促进整改的效果。市本级全年下发领导批示件、人大政协问题交办件11件，市县两级优化办共受理电话和网络投诉211件，均已办结。</w:t>
      </w:r>
    </w:p>
    <w:p>
      <w:pPr>
        <w:spacing w:line="560"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（五）</w:t>
      </w:r>
      <w:r>
        <w:rPr>
          <w:rFonts w:ascii="黑体" w:hAnsi="Times New Roman" w:eastAsia="黑体"/>
          <w:sz w:val="32"/>
          <w:szCs w:val="32"/>
        </w:rPr>
        <w:t>规范管理服务进一步优化。</w:t>
      </w:r>
      <w:r>
        <w:rPr>
          <w:rFonts w:ascii="Times New Roman" w:hAnsi="Times New Roman" w:eastAsia="仿宋_GB2312"/>
          <w:sz w:val="32"/>
          <w:szCs w:val="32"/>
        </w:rPr>
        <w:t>认真贯彻落实民主集中制，健全集体决策制度，对重大决策、重大项目、重要人事任免、大额资金使用等“三重一大”事项召开办党组会议实行集体研究、集体决策，并严格落实党组书记末位表态制度，做到了依法决策、科学决策、民主决策。人事工作方面，按照市委关于机构改革的统一安排和部署，扎实推进办公室机构改革，顺利完成了机构“三定”、人员转隶等工作，并确保了机构改革期间办公室各项工作平稳有序。加大干部培养使用力度，全年有2名处级领导干部被提拔重用，5名科长被提拔为副处级领导干部，3名干部被提拔重用担任科长职务，3名干部被提拔重用担任副科长或副主任科员职务。49名干部职级得到晋升，其中晋升二级巡视员2人，一级调研员1人，一级主任科员22人，三级主任科员18人，四级主任科员6人。注重干部交流，先后选调2名优秀年轻乡镇党委书记到办公室担任科长职务，1名年轻干部交流到乡镇担任乡镇长，1名干部交流到县里担任公安局政委，1名干部交流到企业担任副总经理。不论是提拔重用干部还是调整交流干部，都坚持公开公平公正、程序依纪依规，结果干部群众公认。财务工作方面，严格财务管理，强化部门预算执行，严控“三公经费”支出，提高资金使用效益。政务公开方面，根据新修订的政府信息公开条例，进一步规范政府信息主动公开、依申请公开，做好政策解读和政府常务会议精神解读，加强网站、微信公众号等平台管理，完成了市政府办公室网站升级改造。后勤保障方面，机关院落保持常年卫生整洁，顺应干部职工的呼声食堂实行自助餐，网络、会议系统和设备设施运行稳定，公务用车管理规范。机关安保方面，完善治安防控体系，化解矛盾纠纷，全年息访劝访270余批次，确保了机关院内的安全和总体稳定。工青妇活动方面，通过开展读书兴趣小组、体育兴趣小组、文艺汇演、趣味运动会、志愿服务、道德讲坛、“我们的节日”等形式多样的活动，丰富了干部职工的生活，增强了活力和凝聚力。</w:t>
      </w:r>
    </w:p>
    <w:p>
      <w:pPr>
        <w:spacing w:line="560"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（六）</w:t>
      </w:r>
      <w:r>
        <w:rPr>
          <w:rFonts w:ascii="黑体" w:hAnsi="Times New Roman" w:eastAsia="黑体"/>
          <w:sz w:val="32"/>
          <w:szCs w:val="32"/>
        </w:rPr>
        <w:t>主题教育工作进一步夯实。</w:t>
      </w:r>
      <w:r>
        <w:rPr>
          <w:rFonts w:ascii="Times New Roman" w:hAnsi="Times New Roman" w:eastAsia="仿宋_GB2312"/>
          <w:sz w:val="32"/>
          <w:szCs w:val="32"/>
        </w:rPr>
        <w:t>严格按照市委要求，完成了“不忘初心、牢记使命”主题教育各项工作任务。办公室领导班子以身作则、带头示范，围绕不同主题，进行了3次学习研讨；针对基层减负、提升市城区公交营运服务水平等群众反映强烈的突出问题，形成了13篇高质量调研报告；赴贵州遵义、林伯渠故居等地开展了党性教育。领导班子和各党支部都召开了专题组织生活会，检视问题，分析原因，积极开展批评和自我批评，进一步深化了对初心、使命的认识和理解。全年共开展各类理论学习80余次，班子成员到支部上了23堂党课。</w:t>
      </w:r>
    </w:p>
    <w:p>
      <w:pPr>
        <w:spacing w:line="560"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（七）党建工作要求进一步严格。</w:t>
      </w:r>
      <w:r>
        <w:rPr>
          <w:rFonts w:ascii="Times New Roman" w:hAnsi="Times New Roman" w:eastAsia="仿宋_GB2312"/>
          <w:sz w:val="32"/>
          <w:szCs w:val="32"/>
        </w:rPr>
        <w:t>按照全面从严治党的要求，严格履行党建工作责任，抓紧抓实抓牢党建工作，办公室党建工作取得了新的成效，市政府办公室直属机关党委被市委评为“先进基层党组织”，并作为标准化建设示范点在全市推广。一是进一步压实党建责任。层层压实党建责任，建立完善党组书记亲自抓、分管领导牵头抓、各支部书记、党务工作者具体抓的党建工作责任体系，将党建工作与其他业务工作同谋划、同部署、同落实、同考核。二是进一步夯实党建基础。坚持把支部建设放在党建工作的突出位置，严格执行“三会一课”、党员志愿服务、主题党日活动等制度规范，加强对管理单位党建基础工作督导，市政府办直属机关党委智慧党建“五化”评分连续三月获得满分，在同类党组织中排名第一。三是进一步严格组织生活。办公室各位党组成员带头落实“三会一课”、民主生活会、领导干部双重组织生活、民主评议党员等制度，以普通党员身份积极参加所在支部活动，起到了很好的示范带动作用。四是进一步强化廉政建设。认真落实党风廉政建设主体责任，严格履行党风廉政建设“一岗双责”，积极支持配合派驻纪检组开展工作。加强干部教育管理，深入开展落实中央八项规定精神宣讲活动，深化以案释纪、以案促改，组织全体党员干部观看警示教育片2次。建立健全重点岗位廉政风险防控、经常性提示提醒和谈心谈话等制度，2019年共开展“两同时”谈话、例行谈话、任前谈话等千余人次。五是进一步加强意识形态工作。切实履行意识形态工作“一岗双责”，把意识形态工作作为党的建设的重要内容，摆上重要位置。将意识形态工作要求贯穿业务工作始终，与业务工作同部署、同落实、同检查，推动意识形态工作落到实处、取得实效。领导班子成员认真参加中心组学习，提升思想认识，切实增强抓意识形态工作的履职自觉。党组成员把意识形态工作纳入民主生活会和述职报告内容，并建立健全制度规定，长期坚持。同时高度关注和积极应对舆情，坚持正确舆论导向，提升舆论引导能力，维护意识形态安全。</w:t>
      </w:r>
    </w:p>
    <w:p>
      <w:pPr>
        <w:ind w:left="420" w:leftChars="200"/>
        <w:rPr>
          <w:rFonts w:ascii="Times New Roman" w:hAnsi="Times New Roman" w:eastAsia="黑体" w:cs="宋体"/>
          <w:b/>
          <w:sz w:val="32"/>
          <w:szCs w:val="32"/>
        </w:rPr>
      </w:pPr>
      <w:r>
        <w:rPr>
          <w:rFonts w:hint="eastAsia" w:ascii="Times New Roman" w:hAnsi="Times New Roman" w:eastAsia="黑体" w:cs="宋体"/>
          <w:b/>
          <w:sz w:val="32"/>
          <w:szCs w:val="32"/>
        </w:rPr>
        <w:t>六、存在的主要问题</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1、年中存在临时性工作追加经费情况，预算编制的精准性有待进一步提高。</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2、预决算执行存在差异。有些追加预算指标下达时间较晚，有些未能在当年形成支出，预算执行存在一定偏差。</w:t>
      </w:r>
    </w:p>
    <w:p>
      <w:pPr>
        <w:rPr>
          <w:rFonts w:ascii="Times New Roman" w:hAnsi="Times New Roman" w:eastAsia="黑体" w:cs="宋体"/>
          <w:bCs/>
          <w:sz w:val="32"/>
          <w:szCs w:val="32"/>
        </w:rPr>
      </w:pPr>
      <w:r>
        <w:rPr>
          <w:rFonts w:hint="eastAsia" w:ascii="Times New Roman" w:hAnsi="Times New Roman" w:eastAsia="黑体" w:cs="宋体"/>
          <w:bCs/>
          <w:sz w:val="32"/>
          <w:szCs w:val="32"/>
        </w:rPr>
        <w:t>　　</w:t>
      </w:r>
      <w:r>
        <w:rPr>
          <w:rFonts w:hint="eastAsia" w:ascii="Times New Roman" w:hAnsi="Times New Roman" w:eastAsia="黑体" w:cs="宋体"/>
          <w:b/>
          <w:sz w:val="32"/>
          <w:szCs w:val="32"/>
        </w:rPr>
        <w:t>七、改进措施和建议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1、科学编制部门预算。严格按照预算编制的相关制度和要求以及下一年度的工作计划，细化编制部门预算，提高预算编制的科学性、合理性、严谨性。</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2、严格预算执行管控。严格按照工作进度、时间节点合理申报和使用部门预算，增强预算执行的时效性和均衡性。同时，对年中重大预算调整事项应经充分论证并集体决策，按规范程序逐步报批，增强预算的约束力和严肃性。  </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3、严格落实各项规章制度。严格按照《会计法》、《行政单位会计制度》等规定，结合单位实际情况，及时修订完善单位内部控制制度。同时加强财务管理，严禁不合规经费开支。</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E9E74"/>
    <w:multiLevelType w:val="singleLevel"/>
    <w:tmpl w:val="B70E9E74"/>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1F0985"/>
    <w:multiLevelType w:val="singleLevel"/>
    <w:tmpl w:val="7C1F0985"/>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658A3"/>
    <w:rsid w:val="00074155"/>
    <w:rsid w:val="000A3F69"/>
    <w:rsid w:val="00152C6D"/>
    <w:rsid w:val="00162D39"/>
    <w:rsid w:val="00172A27"/>
    <w:rsid w:val="001A67DB"/>
    <w:rsid w:val="001D51E5"/>
    <w:rsid w:val="001F0C3B"/>
    <w:rsid w:val="001F5204"/>
    <w:rsid w:val="00214427"/>
    <w:rsid w:val="00262EE3"/>
    <w:rsid w:val="00265724"/>
    <w:rsid w:val="0027426B"/>
    <w:rsid w:val="003479BD"/>
    <w:rsid w:val="003768D5"/>
    <w:rsid w:val="00382999"/>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08AC"/>
    <w:rsid w:val="006A351B"/>
    <w:rsid w:val="006B0422"/>
    <w:rsid w:val="006C1B53"/>
    <w:rsid w:val="006D7730"/>
    <w:rsid w:val="006E5284"/>
    <w:rsid w:val="006F3EB5"/>
    <w:rsid w:val="00702E34"/>
    <w:rsid w:val="00704395"/>
    <w:rsid w:val="00720FF1"/>
    <w:rsid w:val="00812ED5"/>
    <w:rsid w:val="008277D9"/>
    <w:rsid w:val="008823BA"/>
    <w:rsid w:val="008A3E8D"/>
    <w:rsid w:val="009237C4"/>
    <w:rsid w:val="00950252"/>
    <w:rsid w:val="00967F5D"/>
    <w:rsid w:val="009A0F95"/>
    <w:rsid w:val="009B3ADF"/>
    <w:rsid w:val="009C3B52"/>
    <w:rsid w:val="00A42218"/>
    <w:rsid w:val="00A70249"/>
    <w:rsid w:val="00B21594"/>
    <w:rsid w:val="00B33BEA"/>
    <w:rsid w:val="00B57C9F"/>
    <w:rsid w:val="00B845B3"/>
    <w:rsid w:val="00B85D8B"/>
    <w:rsid w:val="00BE3674"/>
    <w:rsid w:val="00C3049A"/>
    <w:rsid w:val="00C31B1E"/>
    <w:rsid w:val="00C77645"/>
    <w:rsid w:val="00CE04C3"/>
    <w:rsid w:val="00CE76A0"/>
    <w:rsid w:val="00D148C6"/>
    <w:rsid w:val="00D51919"/>
    <w:rsid w:val="00DD06FF"/>
    <w:rsid w:val="00DD5FE9"/>
    <w:rsid w:val="00E00C7A"/>
    <w:rsid w:val="00E55B68"/>
    <w:rsid w:val="00F219B6"/>
    <w:rsid w:val="00F721AC"/>
    <w:rsid w:val="00F74360"/>
    <w:rsid w:val="00FB462F"/>
    <w:rsid w:val="00FE16FA"/>
    <w:rsid w:val="00FE328A"/>
    <w:rsid w:val="00FE3E28"/>
    <w:rsid w:val="01144363"/>
    <w:rsid w:val="02F71C5D"/>
    <w:rsid w:val="05080775"/>
    <w:rsid w:val="056D1535"/>
    <w:rsid w:val="059E5720"/>
    <w:rsid w:val="05C57FE6"/>
    <w:rsid w:val="06B57C07"/>
    <w:rsid w:val="06E82D65"/>
    <w:rsid w:val="07286F7C"/>
    <w:rsid w:val="07F551F3"/>
    <w:rsid w:val="08002335"/>
    <w:rsid w:val="088E367C"/>
    <w:rsid w:val="08A40178"/>
    <w:rsid w:val="08D96576"/>
    <w:rsid w:val="096C7E79"/>
    <w:rsid w:val="0A0B55DC"/>
    <w:rsid w:val="0A1F6BDE"/>
    <w:rsid w:val="0A965C4A"/>
    <w:rsid w:val="0B7E3E42"/>
    <w:rsid w:val="0C4D60A8"/>
    <w:rsid w:val="0CB21838"/>
    <w:rsid w:val="0D733ABB"/>
    <w:rsid w:val="0DB45554"/>
    <w:rsid w:val="0DF0049A"/>
    <w:rsid w:val="0E1872EF"/>
    <w:rsid w:val="0E5E2752"/>
    <w:rsid w:val="0EB86BAC"/>
    <w:rsid w:val="0EC00F58"/>
    <w:rsid w:val="0EEC221C"/>
    <w:rsid w:val="1072083A"/>
    <w:rsid w:val="10B736B7"/>
    <w:rsid w:val="10CC73C0"/>
    <w:rsid w:val="10E4323D"/>
    <w:rsid w:val="10F91F5E"/>
    <w:rsid w:val="11B832AE"/>
    <w:rsid w:val="11D35C52"/>
    <w:rsid w:val="11EB132F"/>
    <w:rsid w:val="120D30F1"/>
    <w:rsid w:val="121C2B80"/>
    <w:rsid w:val="12C009D2"/>
    <w:rsid w:val="12DE0454"/>
    <w:rsid w:val="12E92ADD"/>
    <w:rsid w:val="12FE79EA"/>
    <w:rsid w:val="13B74CE3"/>
    <w:rsid w:val="140F48B4"/>
    <w:rsid w:val="141058A9"/>
    <w:rsid w:val="14EE39D4"/>
    <w:rsid w:val="152C5E36"/>
    <w:rsid w:val="15427FC3"/>
    <w:rsid w:val="155B485E"/>
    <w:rsid w:val="15685847"/>
    <w:rsid w:val="15F76E56"/>
    <w:rsid w:val="16236E08"/>
    <w:rsid w:val="164C500E"/>
    <w:rsid w:val="16563FD6"/>
    <w:rsid w:val="166B17ED"/>
    <w:rsid w:val="166F4814"/>
    <w:rsid w:val="16760DD5"/>
    <w:rsid w:val="16A21E1C"/>
    <w:rsid w:val="16AE1848"/>
    <w:rsid w:val="17256161"/>
    <w:rsid w:val="173F43D4"/>
    <w:rsid w:val="181B3344"/>
    <w:rsid w:val="198C0F01"/>
    <w:rsid w:val="19973705"/>
    <w:rsid w:val="19C761C3"/>
    <w:rsid w:val="19D96B5B"/>
    <w:rsid w:val="19EC52AE"/>
    <w:rsid w:val="1A476AD7"/>
    <w:rsid w:val="1B0943AE"/>
    <w:rsid w:val="1B2A1C80"/>
    <w:rsid w:val="1B42184C"/>
    <w:rsid w:val="1BE2406F"/>
    <w:rsid w:val="1D2D1A15"/>
    <w:rsid w:val="1D9A087F"/>
    <w:rsid w:val="1ED0797F"/>
    <w:rsid w:val="1F004FF7"/>
    <w:rsid w:val="1F0D62D7"/>
    <w:rsid w:val="1F2012C7"/>
    <w:rsid w:val="1F390514"/>
    <w:rsid w:val="1F7B2D75"/>
    <w:rsid w:val="1F875A71"/>
    <w:rsid w:val="202314F0"/>
    <w:rsid w:val="202507D5"/>
    <w:rsid w:val="205A781D"/>
    <w:rsid w:val="209100DB"/>
    <w:rsid w:val="209E04F7"/>
    <w:rsid w:val="20A474D0"/>
    <w:rsid w:val="20EA0EEE"/>
    <w:rsid w:val="21696360"/>
    <w:rsid w:val="21782A9A"/>
    <w:rsid w:val="21786852"/>
    <w:rsid w:val="218B63FC"/>
    <w:rsid w:val="219658B4"/>
    <w:rsid w:val="21D639E6"/>
    <w:rsid w:val="21E23F9D"/>
    <w:rsid w:val="2251246F"/>
    <w:rsid w:val="22827445"/>
    <w:rsid w:val="22C03E4A"/>
    <w:rsid w:val="22F32E52"/>
    <w:rsid w:val="232A1941"/>
    <w:rsid w:val="235B71CF"/>
    <w:rsid w:val="23E4521D"/>
    <w:rsid w:val="2594002C"/>
    <w:rsid w:val="25A33389"/>
    <w:rsid w:val="25E26CD3"/>
    <w:rsid w:val="25E77CB1"/>
    <w:rsid w:val="25FA29D8"/>
    <w:rsid w:val="26705925"/>
    <w:rsid w:val="26964DA1"/>
    <w:rsid w:val="26A06099"/>
    <w:rsid w:val="270D6DA6"/>
    <w:rsid w:val="280D659F"/>
    <w:rsid w:val="284F7095"/>
    <w:rsid w:val="287703DE"/>
    <w:rsid w:val="293822C5"/>
    <w:rsid w:val="29A62165"/>
    <w:rsid w:val="29A6310C"/>
    <w:rsid w:val="29AF0DA2"/>
    <w:rsid w:val="29D817B7"/>
    <w:rsid w:val="2AA73F8A"/>
    <w:rsid w:val="2ABF5A10"/>
    <w:rsid w:val="2AE40BB3"/>
    <w:rsid w:val="2BBC5CE6"/>
    <w:rsid w:val="2CC16B32"/>
    <w:rsid w:val="2CF82B6B"/>
    <w:rsid w:val="2D3863E3"/>
    <w:rsid w:val="2D7E585A"/>
    <w:rsid w:val="2D7F010C"/>
    <w:rsid w:val="2E8A0DB3"/>
    <w:rsid w:val="2F084504"/>
    <w:rsid w:val="30442084"/>
    <w:rsid w:val="307F0063"/>
    <w:rsid w:val="30A17DB1"/>
    <w:rsid w:val="30AA432D"/>
    <w:rsid w:val="312C70D8"/>
    <w:rsid w:val="32161166"/>
    <w:rsid w:val="32C557B5"/>
    <w:rsid w:val="32EB7431"/>
    <w:rsid w:val="33687921"/>
    <w:rsid w:val="339120C3"/>
    <w:rsid w:val="33D57909"/>
    <w:rsid w:val="33E54655"/>
    <w:rsid w:val="3428258D"/>
    <w:rsid w:val="342D5C40"/>
    <w:rsid w:val="3434469A"/>
    <w:rsid w:val="3470511E"/>
    <w:rsid w:val="34811B44"/>
    <w:rsid w:val="34B6334F"/>
    <w:rsid w:val="353A3384"/>
    <w:rsid w:val="358170C1"/>
    <w:rsid w:val="35C87FE8"/>
    <w:rsid w:val="360E0FDD"/>
    <w:rsid w:val="362A079A"/>
    <w:rsid w:val="373348A2"/>
    <w:rsid w:val="37490067"/>
    <w:rsid w:val="37670BCD"/>
    <w:rsid w:val="37B1360A"/>
    <w:rsid w:val="386E10A3"/>
    <w:rsid w:val="388D060F"/>
    <w:rsid w:val="38E13F52"/>
    <w:rsid w:val="390C105C"/>
    <w:rsid w:val="391C5469"/>
    <w:rsid w:val="39482372"/>
    <w:rsid w:val="39514111"/>
    <w:rsid w:val="39675DA8"/>
    <w:rsid w:val="397B4C8C"/>
    <w:rsid w:val="3AA017BF"/>
    <w:rsid w:val="3ABF02D9"/>
    <w:rsid w:val="3AD008CE"/>
    <w:rsid w:val="3B0E08BF"/>
    <w:rsid w:val="3B9905FC"/>
    <w:rsid w:val="3BAA122A"/>
    <w:rsid w:val="3BCE2F7F"/>
    <w:rsid w:val="3C7F5A94"/>
    <w:rsid w:val="3CA4496D"/>
    <w:rsid w:val="3CAC48CD"/>
    <w:rsid w:val="3CC27FED"/>
    <w:rsid w:val="3D19280D"/>
    <w:rsid w:val="3E335DF6"/>
    <w:rsid w:val="3EAD1C59"/>
    <w:rsid w:val="3EC239C8"/>
    <w:rsid w:val="3EE833F7"/>
    <w:rsid w:val="3F161695"/>
    <w:rsid w:val="3F1A4C90"/>
    <w:rsid w:val="3F8738BA"/>
    <w:rsid w:val="40674522"/>
    <w:rsid w:val="40824D8D"/>
    <w:rsid w:val="40980765"/>
    <w:rsid w:val="40EC5DB9"/>
    <w:rsid w:val="40EE156F"/>
    <w:rsid w:val="40EF38E6"/>
    <w:rsid w:val="415E035F"/>
    <w:rsid w:val="41616F39"/>
    <w:rsid w:val="4177035D"/>
    <w:rsid w:val="419E492D"/>
    <w:rsid w:val="41D34AA9"/>
    <w:rsid w:val="42365A25"/>
    <w:rsid w:val="42E06A47"/>
    <w:rsid w:val="43601560"/>
    <w:rsid w:val="43986CAB"/>
    <w:rsid w:val="4408299E"/>
    <w:rsid w:val="44D34FEE"/>
    <w:rsid w:val="458C6EFB"/>
    <w:rsid w:val="45FF531D"/>
    <w:rsid w:val="46E35883"/>
    <w:rsid w:val="473B239A"/>
    <w:rsid w:val="47636DE6"/>
    <w:rsid w:val="47BC3285"/>
    <w:rsid w:val="48537421"/>
    <w:rsid w:val="48F202CE"/>
    <w:rsid w:val="48F32AE8"/>
    <w:rsid w:val="490B3537"/>
    <w:rsid w:val="49C46E1A"/>
    <w:rsid w:val="4A0F6AC2"/>
    <w:rsid w:val="4A53637B"/>
    <w:rsid w:val="4A823FC8"/>
    <w:rsid w:val="4AA85ED7"/>
    <w:rsid w:val="4BC5213C"/>
    <w:rsid w:val="4C3A0E30"/>
    <w:rsid w:val="4CA4253B"/>
    <w:rsid w:val="4D5F44E0"/>
    <w:rsid w:val="4E140103"/>
    <w:rsid w:val="4EC710B0"/>
    <w:rsid w:val="4F766E2E"/>
    <w:rsid w:val="4FA23088"/>
    <w:rsid w:val="4FA750E3"/>
    <w:rsid w:val="4FA80586"/>
    <w:rsid w:val="505064E2"/>
    <w:rsid w:val="51390982"/>
    <w:rsid w:val="513E3463"/>
    <w:rsid w:val="516568A8"/>
    <w:rsid w:val="51877AAE"/>
    <w:rsid w:val="518A6BB5"/>
    <w:rsid w:val="52045C0A"/>
    <w:rsid w:val="530F4806"/>
    <w:rsid w:val="539879EC"/>
    <w:rsid w:val="53B128B1"/>
    <w:rsid w:val="546547D8"/>
    <w:rsid w:val="54DD6AB0"/>
    <w:rsid w:val="55100DD6"/>
    <w:rsid w:val="55272E3F"/>
    <w:rsid w:val="55360199"/>
    <w:rsid w:val="554D29AF"/>
    <w:rsid w:val="555F5EF5"/>
    <w:rsid w:val="556F5DAE"/>
    <w:rsid w:val="55DF02FB"/>
    <w:rsid w:val="55F531CD"/>
    <w:rsid w:val="5626105B"/>
    <w:rsid w:val="57541467"/>
    <w:rsid w:val="57677FD2"/>
    <w:rsid w:val="57AB6D87"/>
    <w:rsid w:val="57DD5CC1"/>
    <w:rsid w:val="5860703D"/>
    <w:rsid w:val="58D57707"/>
    <w:rsid w:val="58DB0E99"/>
    <w:rsid w:val="59004BD8"/>
    <w:rsid w:val="591570DA"/>
    <w:rsid w:val="596A38CB"/>
    <w:rsid w:val="59741093"/>
    <w:rsid w:val="59C75381"/>
    <w:rsid w:val="5A302EED"/>
    <w:rsid w:val="5A4F5CB1"/>
    <w:rsid w:val="5A6C2DB2"/>
    <w:rsid w:val="5A792B6F"/>
    <w:rsid w:val="5A8D2D7D"/>
    <w:rsid w:val="5B736E9E"/>
    <w:rsid w:val="5B8D4F73"/>
    <w:rsid w:val="5BC17ACB"/>
    <w:rsid w:val="5C1E08DC"/>
    <w:rsid w:val="5C8315FB"/>
    <w:rsid w:val="5C8903BA"/>
    <w:rsid w:val="5CC81D6C"/>
    <w:rsid w:val="5D1C6F48"/>
    <w:rsid w:val="5D9907A3"/>
    <w:rsid w:val="5DBE1AA2"/>
    <w:rsid w:val="5E6975EE"/>
    <w:rsid w:val="5ECD3710"/>
    <w:rsid w:val="5F0F5581"/>
    <w:rsid w:val="5F3051F7"/>
    <w:rsid w:val="5F5E6E6B"/>
    <w:rsid w:val="5F902B37"/>
    <w:rsid w:val="606445D1"/>
    <w:rsid w:val="608B1D44"/>
    <w:rsid w:val="60951238"/>
    <w:rsid w:val="60A268C3"/>
    <w:rsid w:val="610D150E"/>
    <w:rsid w:val="619029CE"/>
    <w:rsid w:val="61A01A8A"/>
    <w:rsid w:val="61C602FF"/>
    <w:rsid w:val="61E045F1"/>
    <w:rsid w:val="622570BD"/>
    <w:rsid w:val="64C055DB"/>
    <w:rsid w:val="65086187"/>
    <w:rsid w:val="654C4EDD"/>
    <w:rsid w:val="65555F58"/>
    <w:rsid w:val="656706D1"/>
    <w:rsid w:val="65CA0C93"/>
    <w:rsid w:val="65F81A01"/>
    <w:rsid w:val="66547042"/>
    <w:rsid w:val="666A3A36"/>
    <w:rsid w:val="67AD3E91"/>
    <w:rsid w:val="67C77FA1"/>
    <w:rsid w:val="67FE2B9C"/>
    <w:rsid w:val="68374931"/>
    <w:rsid w:val="68397B76"/>
    <w:rsid w:val="684C6A47"/>
    <w:rsid w:val="695819A5"/>
    <w:rsid w:val="69F35CEE"/>
    <w:rsid w:val="6AD26E47"/>
    <w:rsid w:val="6B3E1FAB"/>
    <w:rsid w:val="6C1D45C6"/>
    <w:rsid w:val="6C3B2CE1"/>
    <w:rsid w:val="6D2E329B"/>
    <w:rsid w:val="6D9D20C1"/>
    <w:rsid w:val="6DF259DB"/>
    <w:rsid w:val="6E227342"/>
    <w:rsid w:val="6E355420"/>
    <w:rsid w:val="6F0625F9"/>
    <w:rsid w:val="6FB97610"/>
    <w:rsid w:val="70A87625"/>
    <w:rsid w:val="70B8010F"/>
    <w:rsid w:val="70DC49FF"/>
    <w:rsid w:val="71D735B8"/>
    <w:rsid w:val="724A2F97"/>
    <w:rsid w:val="72644856"/>
    <w:rsid w:val="72C52D0A"/>
    <w:rsid w:val="73852F3D"/>
    <w:rsid w:val="738A0CE8"/>
    <w:rsid w:val="73AE3979"/>
    <w:rsid w:val="73E053EF"/>
    <w:rsid w:val="73E5515B"/>
    <w:rsid w:val="74745917"/>
    <w:rsid w:val="74E312C7"/>
    <w:rsid w:val="75937E60"/>
    <w:rsid w:val="759D0AC2"/>
    <w:rsid w:val="75D43577"/>
    <w:rsid w:val="76196BE1"/>
    <w:rsid w:val="764B2F25"/>
    <w:rsid w:val="77157660"/>
    <w:rsid w:val="77365BEF"/>
    <w:rsid w:val="7796666B"/>
    <w:rsid w:val="781A4ACF"/>
    <w:rsid w:val="782627F4"/>
    <w:rsid w:val="78357948"/>
    <w:rsid w:val="78415136"/>
    <w:rsid w:val="79747119"/>
    <w:rsid w:val="798478F9"/>
    <w:rsid w:val="799A5885"/>
    <w:rsid w:val="79B115AB"/>
    <w:rsid w:val="79B77235"/>
    <w:rsid w:val="79FA5C8B"/>
    <w:rsid w:val="7A01244D"/>
    <w:rsid w:val="7AA97C83"/>
    <w:rsid w:val="7ADE0BE3"/>
    <w:rsid w:val="7AF85079"/>
    <w:rsid w:val="7B1E4FD5"/>
    <w:rsid w:val="7B2200C9"/>
    <w:rsid w:val="7B9027BB"/>
    <w:rsid w:val="7B94661E"/>
    <w:rsid w:val="7BB3723B"/>
    <w:rsid w:val="7BD67437"/>
    <w:rsid w:val="7BD8591C"/>
    <w:rsid w:val="7BF96FC1"/>
    <w:rsid w:val="7C933E0C"/>
    <w:rsid w:val="7CA770B0"/>
    <w:rsid w:val="7CCB7AA0"/>
    <w:rsid w:val="7CE72BEB"/>
    <w:rsid w:val="7D2821CC"/>
    <w:rsid w:val="7D676F06"/>
    <w:rsid w:val="7D6D2CB5"/>
    <w:rsid w:val="7D71136F"/>
    <w:rsid w:val="7D7F5485"/>
    <w:rsid w:val="7D9752EA"/>
    <w:rsid w:val="7E07720D"/>
    <w:rsid w:val="7EA1669F"/>
    <w:rsid w:val="7FB9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5D85C5-4E19-4B78-8726-B11949701F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4123</Words>
  <Characters>23505</Characters>
  <Lines>195</Lines>
  <Paragraphs>55</Paragraphs>
  <TotalTime>114</TotalTime>
  <ScaleCrop>false</ScaleCrop>
  <LinksUpToDate>false</LinksUpToDate>
  <CharactersWithSpaces>27573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2020-08-21T07:37:00Z</dcterms:created>
  <dc:creator>李航 null</dc:creator>
  <cp:lastModifiedBy>捌零年代</cp:lastModifiedBy>
  <cp:lastPrinted>2020-08-06T02:14:00Z</cp:lastPrinted>
  <dcterms:modified xsi:type="dcterms:W3CDTF">2021-06-01T06:54:02Z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