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宋体" w:eastAsia="方正小标宋_GBK" w:cs="宋体"/>
          <w:kern w:val="0"/>
          <w:sz w:val="24"/>
        </w:rPr>
      </w:pPr>
      <w:r>
        <w:rPr>
          <w:rFonts w:hint="eastAsia" w:ascii="方正小标宋_GBK" w:hAnsi="宋体" w:eastAsia="方正小标宋_GBK" w:cs="宋体"/>
          <w:kern w:val="0"/>
          <w:sz w:val="24"/>
        </w:rPr>
        <w:t>附件1：</w:t>
      </w:r>
    </w:p>
    <w:p>
      <w:pPr>
        <w:spacing w:line="560" w:lineRule="exact"/>
        <w:jc w:val="center"/>
        <w:rPr>
          <w:rFonts w:ascii="方正小标宋_GBK" w:hAnsi="宋体" w:eastAsia="方正小标宋_GBK" w:cs="宋体"/>
          <w:kern w:val="0"/>
          <w:sz w:val="36"/>
          <w:szCs w:val="36"/>
        </w:rPr>
      </w:pPr>
      <w:r>
        <w:rPr>
          <w:rFonts w:hint="eastAsia" w:ascii="方正小标宋_GBK" w:hAnsi="宋体" w:eastAsia="方正小标宋_GBK" w:cs="宋体"/>
          <w:kern w:val="0"/>
          <w:sz w:val="36"/>
          <w:szCs w:val="36"/>
        </w:rPr>
        <w:t>2016年度常德市国土资源储备中心</w:t>
      </w:r>
      <w:bookmarkStart w:id="0" w:name="_GoBack"/>
      <w:bookmarkEnd w:id="0"/>
    </w:p>
    <w:p>
      <w:pPr>
        <w:spacing w:after="240" w:afterLines="100" w:line="560" w:lineRule="exact"/>
        <w:jc w:val="center"/>
        <w:rPr>
          <w:rFonts w:ascii="宋体" w:cs="宋体"/>
          <w:kern w:val="0"/>
          <w:sz w:val="24"/>
        </w:rPr>
      </w:pPr>
      <w:r>
        <w:rPr>
          <w:rFonts w:hint="eastAsia" w:ascii="方正小标宋_GBK" w:hAnsi="宋体" w:eastAsia="方正小标宋_GBK" w:cs="宋体"/>
          <w:kern w:val="0"/>
          <w:sz w:val="36"/>
          <w:szCs w:val="36"/>
        </w:rPr>
        <w:t>部门整体支出绩效评价指标表</w:t>
      </w:r>
    </w:p>
    <w:tbl>
      <w:tblPr>
        <w:tblStyle w:val="8"/>
        <w:tblW w:w="10600" w:type="dxa"/>
        <w:jc w:val="center"/>
        <w:tblInd w:w="0" w:type="dxa"/>
        <w:tblLayout w:type="fixed"/>
        <w:tblCellMar>
          <w:top w:w="0" w:type="dxa"/>
          <w:left w:w="108" w:type="dxa"/>
          <w:bottom w:w="0" w:type="dxa"/>
          <w:right w:w="108" w:type="dxa"/>
        </w:tblCellMar>
      </w:tblPr>
      <w:tblGrid>
        <w:gridCol w:w="513"/>
        <w:gridCol w:w="516"/>
        <w:gridCol w:w="663"/>
        <w:gridCol w:w="516"/>
        <w:gridCol w:w="993"/>
        <w:gridCol w:w="516"/>
        <w:gridCol w:w="2907"/>
        <w:gridCol w:w="3348"/>
        <w:gridCol w:w="628"/>
      </w:tblGrid>
      <w:tr>
        <w:tblPrEx>
          <w:tblLayout w:type="fixed"/>
          <w:tblCellMar>
            <w:top w:w="0" w:type="dxa"/>
            <w:left w:w="108" w:type="dxa"/>
            <w:bottom w:w="0" w:type="dxa"/>
            <w:right w:w="108" w:type="dxa"/>
          </w:tblCellMar>
        </w:tblPrEx>
        <w:trPr>
          <w:tblHeader/>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一级指标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66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二级指标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三级</w:t>
            </w:r>
          </w:p>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分值</w:t>
            </w:r>
          </w:p>
        </w:tc>
        <w:tc>
          <w:tcPr>
            <w:tcW w:w="290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评价标准</w:t>
            </w:r>
          </w:p>
        </w:tc>
        <w:tc>
          <w:tcPr>
            <w:tcW w:w="334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指标说明</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得分</w:t>
            </w:r>
          </w:p>
        </w:tc>
      </w:tr>
      <w:tr>
        <w:tblPrEx>
          <w:tblLayout w:type="fixed"/>
          <w:tblCellMar>
            <w:top w:w="0" w:type="dxa"/>
            <w:left w:w="108" w:type="dxa"/>
            <w:bottom w:w="0" w:type="dxa"/>
            <w:right w:w="108" w:type="dxa"/>
          </w:tblCellMar>
        </w:tblPrEx>
        <w:trPr>
          <w:trHeight w:val="1814" w:hRule="atLeast"/>
          <w:jc w:val="center"/>
        </w:trPr>
        <w:tc>
          <w:tcPr>
            <w:tcW w:w="51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投入</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663" w:type="dxa"/>
            <w:vMerge w:val="restart"/>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预算配置</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13</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nil"/>
              <w:right w:val="nil"/>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以100%为标准。在职人员控制率</w:t>
            </w:r>
            <w:r>
              <w:rPr>
                <w:rFonts w:hint="eastAsia" w:ascii="宋体" w:hAnsi="宋体" w:cs="宋体"/>
                <w:kern w:val="0"/>
                <w:sz w:val="20"/>
                <w:szCs w:val="20"/>
              </w:rPr>
              <w:t>≦</w:t>
            </w:r>
            <w:r>
              <w:rPr>
                <w:rFonts w:hint="eastAsia" w:ascii="仿宋_GB2312" w:hAnsi="宋体" w:eastAsia="仿宋_GB2312" w:cs="宋体"/>
                <w:kern w:val="0"/>
                <w:sz w:val="20"/>
                <w:szCs w:val="20"/>
              </w:rPr>
              <w:t>100%，计5分；每超过一个百分点扣0.5分，扣完为止。</w:t>
            </w:r>
          </w:p>
        </w:tc>
        <w:tc>
          <w:tcPr>
            <w:tcW w:w="3348" w:type="dxa"/>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在职人员控制率=（在职人员数/编制数）×100%，在职人员数：部门（单位）实际在职人数，以财政厅确定的部门决算编制口径为准。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编制数：机构编制部门核定批复的部门（单位）的人员编制数。</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w:t>
            </w:r>
            <w:r>
              <w:rPr>
                <w:rFonts w:hint="eastAsia" w:ascii="宋体" w:hAnsi="宋体" w:cs="宋体"/>
                <w:kern w:val="0"/>
                <w:sz w:val="20"/>
                <w:szCs w:val="20"/>
              </w:rPr>
              <w:t>≦</w:t>
            </w:r>
            <w:r>
              <w:rPr>
                <w:rFonts w:hint="eastAsia" w:ascii="仿宋_GB2312" w:hAnsi="宋体" w:eastAsia="仿宋_GB2312" w:cs="宋体"/>
                <w:kern w:val="0"/>
                <w:sz w:val="20"/>
                <w:szCs w:val="20"/>
              </w:rPr>
              <w:t>0,计8分；“三公经费”＞0，每超过一个百分点扣0.8分，扣完为止。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“三公经费”变动率=[（本年度“三公经费”预算数-上年度“三公经费”预算数）/上年度“三公经费”预算数]×100%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jc w:val="center"/>
        </w:trPr>
        <w:tc>
          <w:tcPr>
            <w:tcW w:w="51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61</w:t>
            </w: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预算执行</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20</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100%计满分，每低于5%扣2分，扣完为止。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预算完成率=（上年结转+年初预算+本年追加预算-年末结余）/（上年结转+年初预算+本年追加预算）×100%。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27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预算控制率=0，计5分；0-10%（含），计4分；10-20%（含），计3分；20-30%（含），计2分；大于30%不得分。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预算控制率=（本年追加预算/年初预算）×100%。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color w:val="FF0000"/>
                <w:kern w:val="0"/>
                <w:sz w:val="24"/>
              </w:rPr>
            </w:pPr>
            <w:r>
              <w:rPr>
                <w:rFonts w:hint="eastAsia" w:ascii="仿宋_GB2312" w:hAnsi="宋体" w:eastAsia="仿宋_GB2312" w:cs="宋体"/>
                <w:kern w:val="0"/>
                <w:sz w:val="24"/>
              </w:rPr>
              <w:t>　</w:t>
            </w:r>
            <w:r>
              <w:rPr>
                <w:rFonts w:hint="eastAsia" w:ascii="仿宋_GB2312" w:hAnsi="宋体" w:eastAsia="仿宋_GB2312" w:cs="宋体"/>
                <w:color w:val="FF0000"/>
                <w:kern w:val="0"/>
                <w:sz w:val="24"/>
              </w:rPr>
              <w:t>0</w:t>
            </w:r>
          </w:p>
        </w:tc>
      </w:tr>
      <w:tr>
        <w:tblPrEx>
          <w:tblLayout w:type="fixed"/>
          <w:tblCellMar>
            <w:top w:w="0" w:type="dxa"/>
            <w:left w:w="108" w:type="dxa"/>
            <w:bottom w:w="0" w:type="dxa"/>
            <w:right w:w="108" w:type="dxa"/>
          </w:tblCellMar>
        </w:tblPrEx>
        <w:trPr>
          <w:trHeight w:val="1160"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新建楼堂馆所面积控制率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100%以下（含）计满分，每超出5%扣2分，扣完为止。没有楼堂馆所项目的部门按满分计算。</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楼堂馆所面积控制率=实际建设面积/批准建设面积×100%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该指标以2016年完工的新建楼堂馆所为评价内容。</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54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新建楼堂馆所投资概算控制率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楼堂馆所投资预算控制率=实际投资金额/批准投资金额×100% 。</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该指标以2016年完工的新建楼堂馆所为评价内容。</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trHeight w:val="1562"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41</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公用经费控制率=（实际支出公用经费总额/预算安排公用经费总额）×100%。</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公用经费支出是指部门基本支出中的一般商品和服务支出。</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trHeight w:val="1073" w:hRule="atLeast"/>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100%以下（含）计满分，每超出1%扣1分，扣完为止。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“三公经费”控制率-（“三公经费”实际支出数/“三公经费”预算安排数）×100%。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3</w:t>
            </w:r>
          </w:p>
        </w:tc>
      </w:tr>
      <w:tr>
        <w:tblPrEx>
          <w:tblLayout w:type="fixed"/>
          <w:tblCellMar>
            <w:top w:w="0" w:type="dxa"/>
            <w:left w:w="108" w:type="dxa"/>
            <w:bottom w:w="0" w:type="dxa"/>
            <w:right w:w="108" w:type="dxa"/>
          </w:tblCellMar>
        </w:tblPrEx>
        <w:trPr>
          <w:trHeight w:val="918" w:hRule="atLeast"/>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100%计满分，每超过（降低）5%扣2分。扣完为止。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政府采购执行率=（实际政府采购金额/政府采购预算数）×100%</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w:t>
            </w:r>
          </w:p>
        </w:tc>
      </w:tr>
      <w:tr>
        <w:tblPrEx>
          <w:tblLayout w:type="fixed"/>
          <w:tblCellMar>
            <w:top w:w="0" w:type="dxa"/>
            <w:left w:w="108" w:type="dxa"/>
            <w:bottom w:w="0" w:type="dxa"/>
            <w:right w:w="108" w:type="dxa"/>
          </w:tblCellMar>
        </w:tblPrEx>
        <w:trPr>
          <w:jc w:val="center"/>
        </w:trPr>
        <w:tc>
          <w:tcPr>
            <w:tcW w:w="513"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过                                                                                                                                       程</w:t>
            </w:r>
          </w:p>
        </w:tc>
        <w:tc>
          <w:tcPr>
            <w:tcW w:w="516" w:type="dxa"/>
            <w:vMerge w:val="restart"/>
            <w:tcBorders>
              <w:top w:val="single" w:color="auto" w:sz="4" w:space="0"/>
              <w:left w:val="single" w:color="auto" w:sz="4" w:space="0"/>
              <w:bottom w:val="single" w:color="000000" w:sz="4" w:space="0"/>
              <w:right w:val="single" w:color="auto" w:sz="4" w:space="0"/>
            </w:tcBorders>
            <w:vAlign w:val="center"/>
          </w:tcPr>
          <w:p>
            <w:pPr>
              <w:jc w:val="left"/>
              <w:rPr>
                <w:rFonts w:ascii="仿宋_GB2312" w:hAnsi="宋体" w:eastAsia="仿宋_GB2312" w:cs="宋体"/>
                <w:kern w:val="0"/>
                <w:sz w:val="20"/>
                <w:szCs w:val="20"/>
              </w:rPr>
            </w:pPr>
            <w:r>
              <w:rPr>
                <w:rFonts w:hint="eastAsia" w:ascii="仿宋_GB2312" w:hAnsi="宋体" w:eastAsia="仿宋_GB2312" w:cs="宋体"/>
                <w:kern w:val="0"/>
                <w:sz w:val="20"/>
                <w:szCs w:val="20"/>
              </w:rPr>
              <w:t>61</w:t>
            </w:r>
          </w:p>
        </w:tc>
        <w:tc>
          <w:tcPr>
            <w:tcW w:w="663" w:type="dxa"/>
            <w:vMerge w:val="restart"/>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预算管理</w:t>
            </w: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管理制度健全性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①有内部财务管理制度、会计核算制度等管理制度，2分；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②有本部门厉行节约制度,2分；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③相关管理制度合法、合规、完整，2分；④相关管理制度得到有效执行，2分。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8</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资金使用合规性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以上情况每出现一例不符合要求的扣1分，扣完为止。</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预决算信息公开性</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5</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xml:space="preserve">①按规定内容公开预决算信息，1分；②按规定时限公开预决算信息，1分；③基础数据信息和会计信息资料真实，1分；④基础数据信息和会计信息资料完整，1分；⑤基础数据信息和汇集信息资料准确，1分。  </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预决算信息是指与部门预算、执行、决算、监督、绩效等管理相关的信息。</w:t>
            </w:r>
          </w:p>
        </w:tc>
        <w:tc>
          <w:tcPr>
            <w:tcW w:w="628" w:type="dxa"/>
            <w:tcBorders>
              <w:top w:val="nil"/>
              <w:left w:val="nil"/>
              <w:bottom w:val="single" w:color="auto" w:sz="4" w:space="0"/>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5</w:t>
            </w:r>
          </w:p>
        </w:tc>
      </w:tr>
      <w:tr>
        <w:tblPrEx>
          <w:tblLayout w:type="fixed"/>
          <w:tblCellMar>
            <w:top w:w="0" w:type="dxa"/>
            <w:left w:w="108" w:type="dxa"/>
            <w:bottom w:w="0" w:type="dxa"/>
            <w:right w:w="108" w:type="dxa"/>
          </w:tblCellMar>
        </w:tblPrEx>
        <w:trPr>
          <w:jc w:val="center"/>
        </w:trPr>
        <w:tc>
          <w:tcPr>
            <w:tcW w:w="51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产出及效率</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26</w:t>
            </w:r>
          </w:p>
        </w:tc>
        <w:tc>
          <w:tcPr>
            <w:tcW w:w="66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职责履行</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993" w:type="dxa"/>
            <w:tcBorders>
              <w:top w:val="nil"/>
              <w:left w:val="nil"/>
              <w:bottom w:val="nil"/>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重点工作实际完成率</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8</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根据绩效办2016年对各部门为民办实事和部门重点工程与重点工作考核分数折算。</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62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8</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履职 效益</w:t>
            </w: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993"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经济效益</w:t>
            </w:r>
          </w:p>
        </w:tc>
        <w:tc>
          <w:tcPr>
            <w:tcW w:w="516" w:type="dxa"/>
            <w:vMerge w:val="restart"/>
            <w:tcBorders>
              <w:top w:val="nil"/>
              <w:left w:val="single" w:color="auto" w:sz="4" w:space="0"/>
              <w:bottom w:val="nil"/>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6255" w:type="dxa"/>
            <w:gridSpan w:val="2"/>
            <w:vMerge w:val="restart"/>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全年出让成交总价款21.43亿元，收益为13.49亿元。增加了政府财政收入、促进城市基础设施建设；对工业用地实施储备和供应，防止了工业项目的粗放用地、闲置浪费现象的发生，提高了土地的集约利用。</w:t>
            </w:r>
          </w:p>
        </w:tc>
        <w:tc>
          <w:tcPr>
            <w:tcW w:w="628" w:type="dxa"/>
            <w:vMerge w:val="restart"/>
            <w:tcBorders>
              <w:top w:val="nil"/>
              <w:left w:val="nil"/>
              <w:right w:val="single" w:color="auto" w:sz="4" w:space="0"/>
            </w:tcBorders>
            <w:vAlign w:val="center"/>
          </w:tcPr>
          <w:p>
            <w:pPr>
              <w:widowControl/>
              <w:jc w:val="left"/>
              <w:rPr>
                <w:rFonts w:ascii="仿宋_GB2312" w:eastAsia="仿宋_GB2312" w:cs="宋体"/>
                <w:kern w:val="0"/>
                <w:sz w:val="24"/>
              </w:rPr>
            </w:pPr>
            <w:r>
              <w:rPr>
                <w:rFonts w:hint="eastAsia" w:ascii="仿宋_GB2312" w:hAnsi="宋体" w:eastAsia="仿宋_GB2312" w:cs="宋体"/>
                <w:kern w:val="0"/>
                <w:sz w:val="24"/>
              </w:rPr>
              <w:t>　6　</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社会效益</w:t>
            </w:r>
          </w:p>
        </w:tc>
        <w:tc>
          <w:tcPr>
            <w:tcW w:w="516" w:type="dxa"/>
            <w:vMerge w:val="continue"/>
            <w:tcBorders>
              <w:top w:val="nil"/>
              <w:left w:val="single" w:color="auto" w:sz="4" w:space="0"/>
              <w:bottom w:val="nil"/>
              <w:right w:val="single" w:color="auto" w:sz="4" w:space="0"/>
            </w:tcBorders>
            <w:vAlign w:val="center"/>
          </w:tcPr>
          <w:p>
            <w:pPr>
              <w:widowControl/>
              <w:jc w:val="left"/>
              <w:rPr>
                <w:rFonts w:ascii="仿宋_GB2312" w:hAnsi="宋体" w:eastAsia="仿宋_GB2312" w:cs="宋体"/>
                <w:kern w:val="0"/>
                <w:sz w:val="20"/>
                <w:szCs w:val="20"/>
              </w:rPr>
            </w:pPr>
          </w:p>
        </w:tc>
        <w:tc>
          <w:tcPr>
            <w:tcW w:w="6255" w:type="dxa"/>
            <w:gridSpan w:val="2"/>
            <w:vMerge w:val="continue"/>
            <w:tcBorders>
              <w:top w:val="single" w:color="auto" w:sz="4" w:space="0"/>
              <w:left w:val="single" w:color="auto" w:sz="4" w:space="0"/>
              <w:bottom w:val="nil"/>
              <w:right w:val="single" w:color="000000" w:sz="4" w:space="0"/>
            </w:tcBorders>
            <w:vAlign w:val="center"/>
          </w:tcPr>
          <w:p>
            <w:pPr>
              <w:widowControl/>
              <w:jc w:val="left"/>
              <w:rPr>
                <w:rFonts w:ascii="仿宋_GB2312" w:hAnsi="宋体" w:eastAsia="仿宋_GB2312" w:cs="宋体"/>
                <w:kern w:val="0"/>
                <w:sz w:val="20"/>
                <w:szCs w:val="20"/>
              </w:rPr>
            </w:pPr>
          </w:p>
        </w:tc>
        <w:tc>
          <w:tcPr>
            <w:tcW w:w="628" w:type="dxa"/>
            <w:vMerge w:val="continue"/>
            <w:tcBorders>
              <w:left w:val="nil"/>
              <w:bottom w:val="nil"/>
              <w:right w:val="single" w:color="auto" w:sz="4" w:space="0"/>
            </w:tcBorders>
            <w:vAlign w:val="center"/>
          </w:tcPr>
          <w:p>
            <w:pPr>
              <w:widowControl/>
              <w:jc w:val="left"/>
              <w:rPr>
                <w:rFonts w:ascii="仿宋_GB2312" w:eastAsia="仿宋_GB2312" w:cs="宋体"/>
                <w:kern w:val="0"/>
                <w:sz w:val="24"/>
              </w:rPr>
            </w:pP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12</w:t>
            </w: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行政效能</w:t>
            </w: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促进部门改进文风会风，加强经费及资产管理，推动网上办事，提高行政效率，降低行政成本效果较好的计6分；一般3分；无效果或者效果不明显0分。</w:t>
            </w:r>
          </w:p>
        </w:tc>
        <w:tc>
          <w:tcPr>
            <w:tcW w:w="334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根据部门自评材料评定。</w:t>
            </w:r>
          </w:p>
        </w:tc>
        <w:tc>
          <w:tcPr>
            <w:tcW w:w="62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6</w:t>
            </w:r>
          </w:p>
        </w:tc>
      </w:tr>
      <w:tr>
        <w:tblPrEx>
          <w:tblLayout w:type="fixed"/>
          <w:tblCellMar>
            <w:top w:w="0" w:type="dxa"/>
            <w:left w:w="108" w:type="dxa"/>
            <w:bottom w:w="0" w:type="dxa"/>
            <w:right w:w="108" w:type="dxa"/>
          </w:tblCellMar>
        </w:tblPrEx>
        <w:trPr>
          <w:jc w:val="center"/>
        </w:trPr>
        <w:tc>
          <w:tcPr>
            <w:tcW w:w="51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6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99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社会公众或服务对象满意度</w:t>
            </w:r>
          </w:p>
        </w:tc>
        <w:tc>
          <w:tcPr>
            <w:tcW w:w="51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6</w:t>
            </w:r>
          </w:p>
        </w:tc>
        <w:tc>
          <w:tcPr>
            <w:tcW w:w="290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90%（含）以上计6分；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80%（含）-90%，计4分；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70%（含）-80%，计2分；</w:t>
            </w:r>
            <w:r>
              <w:rPr>
                <w:rFonts w:hint="eastAsia" w:ascii="仿宋_GB2312" w:hAnsi="宋体" w:eastAsia="仿宋_GB2312" w:cs="宋体"/>
                <w:kern w:val="0"/>
                <w:sz w:val="20"/>
                <w:szCs w:val="20"/>
              </w:rPr>
              <w:br w:type="textWrapping"/>
            </w:r>
            <w:r>
              <w:rPr>
                <w:rFonts w:hint="eastAsia" w:ascii="仿宋_GB2312" w:hAnsi="宋体" w:eastAsia="仿宋_GB2312" w:cs="宋体"/>
                <w:kern w:val="0"/>
                <w:sz w:val="20"/>
                <w:szCs w:val="20"/>
              </w:rPr>
              <w:t>低于70%计0分。</w:t>
            </w:r>
          </w:p>
        </w:tc>
        <w:tc>
          <w:tcPr>
            <w:tcW w:w="334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社会公众或服务对象是指部门（单位）履行职责而影响到的部门、群体或个人，一般采取社会调查的方式。</w:t>
            </w:r>
          </w:p>
        </w:tc>
        <w:tc>
          <w:tcPr>
            <w:tcW w:w="628"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　6</w:t>
            </w:r>
          </w:p>
        </w:tc>
      </w:tr>
      <w:tr>
        <w:tblPrEx>
          <w:tblLayout w:type="fixed"/>
          <w:tblCellMar>
            <w:top w:w="0" w:type="dxa"/>
            <w:left w:w="108" w:type="dxa"/>
            <w:bottom w:w="0" w:type="dxa"/>
            <w:right w:w="108" w:type="dxa"/>
          </w:tblCellMar>
        </w:tblPrEx>
        <w:trPr>
          <w:trHeight w:val="788"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合计</w:t>
            </w: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66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993"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51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100</w:t>
            </w:r>
          </w:p>
        </w:tc>
        <w:tc>
          <w:tcPr>
            <w:tcW w:w="2907"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3348" w:type="dxa"/>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0"/>
                <w:szCs w:val="20"/>
              </w:rPr>
            </w:pP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0"/>
                <w:szCs w:val="20"/>
              </w:rPr>
            </w:pPr>
            <w:r>
              <w:rPr>
                <w:rFonts w:ascii="仿宋_GB2312" w:hAnsi="宋体" w:eastAsia="仿宋_GB2312" w:cs="宋体"/>
                <w:kern w:val="0"/>
                <w:sz w:val="20"/>
                <w:szCs w:val="20"/>
              </w:rPr>
              <w:fldChar w:fldCharType="begin"/>
            </w:r>
            <w:r>
              <w:rPr>
                <w:rFonts w:ascii="仿宋_GB2312" w:hAnsi="宋体" w:eastAsia="仿宋_GB2312" w:cs="宋体"/>
                <w:kern w:val="0"/>
                <w:sz w:val="20"/>
                <w:szCs w:val="20"/>
              </w:rPr>
              <w:instrText xml:space="preserve"> =SUM(ABOVE) </w:instrText>
            </w:r>
            <w:r>
              <w:rPr>
                <w:rFonts w:ascii="仿宋_GB2312" w:hAnsi="宋体" w:eastAsia="仿宋_GB2312" w:cs="宋体"/>
                <w:kern w:val="0"/>
                <w:sz w:val="20"/>
                <w:szCs w:val="20"/>
              </w:rPr>
              <w:fldChar w:fldCharType="separate"/>
            </w:r>
            <w:r>
              <w:rPr>
                <w:rFonts w:ascii="仿宋_GB2312" w:hAnsi="宋体" w:eastAsia="仿宋_GB2312" w:cs="宋体"/>
                <w:kern w:val="0"/>
                <w:sz w:val="20"/>
                <w:szCs w:val="20"/>
              </w:rPr>
              <w:t>90</w:t>
            </w:r>
            <w:r>
              <w:rPr>
                <w:rFonts w:ascii="仿宋_GB2312" w:hAnsi="宋体" w:eastAsia="仿宋_GB2312" w:cs="宋体"/>
                <w:kern w:val="0"/>
                <w:sz w:val="20"/>
                <w:szCs w:val="20"/>
              </w:rPr>
              <w:fldChar w:fldCharType="end"/>
            </w:r>
          </w:p>
        </w:tc>
      </w:tr>
    </w:tbl>
    <w:p/>
    <w:sectPr>
      <w:footerReference r:id="rId3" w:type="default"/>
      <w:footerReference r:id="rId4" w:type="even"/>
      <w:pgSz w:w="11905" w:h="16837"/>
      <w:pgMar w:top="993" w:right="1588" w:bottom="1418" w:left="1588" w:header="720" w:footer="1701" w:gutter="0"/>
      <w:pgNumType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721" w:y="115"/>
      <w:rPr>
        <w:rStyle w:val="7"/>
        <w:sz w:val="28"/>
        <w:szCs w:val="28"/>
      </w:rPr>
    </w:pPr>
    <w:r>
      <w:rPr>
        <w:rStyle w:val="7"/>
        <w:rFonts w:cs="宋体"/>
      </w:rPr>
      <w:t>—</w:t>
    </w: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3</w:t>
    </w:r>
    <w:r>
      <w:rPr>
        <w:rStyle w:val="7"/>
        <w:sz w:val="28"/>
        <w:szCs w:val="28"/>
      </w:rPr>
      <w:fldChar w:fldCharType="end"/>
    </w:r>
    <w:r>
      <w:rPr>
        <w:rStyle w:val="7"/>
        <w:rFonts w:cs="宋体"/>
      </w:rPr>
      <w:t>—</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93"/>
    <w:rsid w:val="000063D6"/>
    <w:rsid w:val="000223EC"/>
    <w:rsid w:val="00025D80"/>
    <w:rsid w:val="000A4013"/>
    <w:rsid w:val="000B2DF3"/>
    <w:rsid w:val="000D39AA"/>
    <w:rsid w:val="000E1342"/>
    <w:rsid w:val="000E6ECD"/>
    <w:rsid w:val="000F2D86"/>
    <w:rsid w:val="0019389F"/>
    <w:rsid w:val="002240F4"/>
    <w:rsid w:val="00233D12"/>
    <w:rsid w:val="00256656"/>
    <w:rsid w:val="0027303B"/>
    <w:rsid w:val="002A6F76"/>
    <w:rsid w:val="002C5BAD"/>
    <w:rsid w:val="002F354F"/>
    <w:rsid w:val="00333FCD"/>
    <w:rsid w:val="00356C4D"/>
    <w:rsid w:val="00387008"/>
    <w:rsid w:val="00393E53"/>
    <w:rsid w:val="003E61EB"/>
    <w:rsid w:val="00442654"/>
    <w:rsid w:val="00446B2B"/>
    <w:rsid w:val="004527DA"/>
    <w:rsid w:val="004573B6"/>
    <w:rsid w:val="004650E9"/>
    <w:rsid w:val="004A53ED"/>
    <w:rsid w:val="004E0339"/>
    <w:rsid w:val="004F2831"/>
    <w:rsid w:val="00513E2A"/>
    <w:rsid w:val="00547698"/>
    <w:rsid w:val="005C0291"/>
    <w:rsid w:val="005E5EEE"/>
    <w:rsid w:val="00631B9C"/>
    <w:rsid w:val="0065756B"/>
    <w:rsid w:val="006613AD"/>
    <w:rsid w:val="006B2C9B"/>
    <w:rsid w:val="006D345E"/>
    <w:rsid w:val="0072370A"/>
    <w:rsid w:val="00733BC3"/>
    <w:rsid w:val="007B1764"/>
    <w:rsid w:val="007B4EBC"/>
    <w:rsid w:val="007C5DE1"/>
    <w:rsid w:val="007D121A"/>
    <w:rsid w:val="00810FA7"/>
    <w:rsid w:val="00827BE0"/>
    <w:rsid w:val="008E17EF"/>
    <w:rsid w:val="00964FFF"/>
    <w:rsid w:val="009A0676"/>
    <w:rsid w:val="009B5011"/>
    <w:rsid w:val="009E201C"/>
    <w:rsid w:val="00A021A9"/>
    <w:rsid w:val="00A43B0D"/>
    <w:rsid w:val="00A566A4"/>
    <w:rsid w:val="00A61DFE"/>
    <w:rsid w:val="00A71B10"/>
    <w:rsid w:val="00AA7211"/>
    <w:rsid w:val="00AB7E89"/>
    <w:rsid w:val="00B1337B"/>
    <w:rsid w:val="00B358F9"/>
    <w:rsid w:val="00B42161"/>
    <w:rsid w:val="00B42CF7"/>
    <w:rsid w:val="00BC5ADE"/>
    <w:rsid w:val="00C91993"/>
    <w:rsid w:val="00C92D43"/>
    <w:rsid w:val="00CA4DAE"/>
    <w:rsid w:val="00CE7E05"/>
    <w:rsid w:val="00CF30F1"/>
    <w:rsid w:val="00CF73A0"/>
    <w:rsid w:val="00D22946"/>
    <w:rsid w:val="00D50954"/>
    <w:rsid w:val="00DC4713"/>
    <w:rsid w:val="00E500F5"/>
    <w:rsid w:val="00E60259"/>
    <w:rsid w:val="00E870E3"/>
    <w:rsid w:val="00EA77C0"/>
    <w:rsid w:val="00ED01EE"/>
    <w:rsid w:val="00EF3E25"/>
    <w:rsid w:val="00F020E0"/>
    <w:rsid w:val="00F21946"/>
    <w:rsid w:val="00F3377F"/>
    <w:rsid w:val="00F760E4"/>
    <w:rsid w:val="00FA377A"/>
    <w:rsid w:val="10D556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2"/>
    <w:uiPriority w:val="99"/>
    <w:pPr>
      <w:spacing w:after="120"/>
    </w:pPr>
  </w:style>
  <w:style w:type="paragraph" w:styleId="3">
    <w:name w:val="Balloon Text"/>
    <w:basedOn w:val="1"/>
    <w:link w:val="13"/>
    <w:uiPriority w:val="99"/>
    <w:rPr>
      <w:sz w:val="18"/>
      <w:szCs w:val="18"/>
    </w:rPr>
  </w:style>
  <w:style w:type="paragraph" w:styleId="4">
    <w:name w:val="footer"/>
    <w:basedOn w:val="1"/>
    <w:link w:val="10"/>
    <w:uiPriority w:val="99"/>
    <w:pPr>
      <w:tabs>
        <w:tab w:val="center" w:pos="4153"/>
        <w:tab w:val="right" w:pos="8306"/>
      </w:tabs>
      <w:snapToGrid w:val="0"/>
      <w:jc w:val="left"/>
    </w:pPr>
    <w:rPr>
      <w:rFonts w:ascii="Calibri" w:hAnsi="Calibri"/>
      <w:sz w:val="18"/>
      <w:szCs w:val="18"/>
    </w:rPr>
  </w:style>
  <w:style w:type="paragraph" w:styleId="5">
    <w:name w:val="header"/>
    <w:basedOn w:val="1"/>
    <w:link w:val="9"/>
    <w:uiPriority w:val="99"/>
    <w:pPr>
      <w:pBdr>
        <w:bottom w:val="single" w:color="auto" w:sz="6" w:space="1"/>
      </w:pBdr>
      <w:tabs>
        <w:tab w:val="center" w:pos="4153"/>
        <w:tab w:val="right" w:pos="8306"/>
      </w:tabs>
      <w:snapToGrid w:val="0"/>
      <w:jc w:val="center"/>
    </w:pPr>
    <w:rPr>
      <w:rFonts w:ascii="Calibri" w:hAnsi="Calibri"/>
      <w:sz w:val="18"/>
      <w:szCs w:val="18"/>
    </w:rPr>
  </w:style>
  <w:style w:type="character" w:styleId="7">
    <w:name w:val="page number"/>
    <w:uiPriority w:val="99"/>
    <w:rPr>
      <w:rFonts w:cs="Times New Roman"/>
    </w:rPr>
  </w:style>
  <w:style w:type="character" w:customStyle="1" w:styleId="9">
    <w:name w:val="页眉 Char"/>
    <w:link w:val="5"/>
    <w:locked/>
    <w:uiPriority w:val="99"/>
    <w:rPr>
      <w:rFonts w:cs="Times New Roman"/>
      <w:sz w:val="18"/>
      <w:szCs w:val="18"/>
    </w:rPr>
  </w:style>
  <w:style w:type="character" w:customStyle="1" w:styleId="10">
    <w:name w:val="页脚 Char"/>
    <w:link w:val="4"/>
    <w:locked/>
    <w:uiPriority w:val="99"/>
    <w:rPr>
      <w:rFonts w:cs="Times New Roman"/>
      <w:sz w:val="18"/>
      <w:szCs w:val="18"/>
    </w:rPr>
  </w:style>
  <w:style w:type="paragraph" w:customStyle="1" w:styleId="11">
    <w:name w:val="表格内容"/>
    <w:basedOn w:val="2"/>
    <w:uiPriority w:val="99"/>
    <w:pPr>
      <w:suppressLineNumbers/>
      <w:suppressAutoHyphens/>
      <w:jc w:val="left"/>
    </w:pPr>
    <w:rPr>
      <w:rFonts w:cs="Tahoma"/>
      <w:kern w:val="0"/>
      <w:sz w:val="24"/>
    </w:rPr>
  </w:style>
  <w:style w:type="character" w:customStyle="1" w:styleId="12">
    <w:name w:val="正文文本 Char"/>
    <w:link w:val="2"/>
    <w:locked/>
    <w:uiPriority w:val="99"/>
    <w:rPr>
      <w:rFonts w:ascii="Times New Roman" w:hAnsi="Times New Roman" w:eastAsia="宋体" w:cs="Times New Roman"/>
      <w:sz w:val="24"/>
      <w:szCs w:val="24"/>
    </w:rPr>
  </w:style>
  <w:style w:type="character" w:customStyle="1" w:styleId="13">
    <w:name w:val="批注框文本 Char"/>
    <w:link w:val="3"/>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451</Words>
  <Characters>2575</Characters>
  <Lines>21</Lines>
  <Paragraphs>6</Paragraphs>
  <TotalTime>0</TotalTime>
  <ScaleCrop>false</ScaleCrop>
  <LinksUpToDate>false</LinksUpToDate>
  <CharactersWithSpaces>3020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2016-07-06T00:50:00Z</dcterms:created>
  <dc:creator>何阳之 10.104.65.70</dc:creator>
  <cp:lastModifiedBy>Administrator</cp:lastModifiedBy>
  <cp:lastPrinted>2017-04-06T07:14:00Z</cp:lastPrinted>
  <dcterms:modified xsi:type="dcterms:W3CDTF">2017-10-26T07:29:54Z</dcterms:modified>
  <dc:title>湖南省财政厅文件</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