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600"/>
        <w:rPr>
          <w:rFonts w:hint="eastAsia" w:ascii="宋体" w:hAnsi="宋体" w:eastAsia="宋体" w:cs="宋体"/>
          <w:sz w:val="28"/>
          <w:szCs w:val="28"/>
        </w:rPr>
      </w:pPr>
      <w:r>
        <w:rPr>
          <w:rFonts w:hint="eastAsia" w:ascii="宋体" w:hAnsi="宋体" w:eastAsia="宋体" w:cs="宋体"/>
          <w:sz w:val="28"/>
          <w:szCs w:val="28"/>
          <w:u w:val="none"/>
        </w:rPr>
        <w:t>全息防伪生产线建设项目</w:t>
      </w:r>
      <w:r>
        <w:rPr>
          <w:rFonts w:hint="eastAsia" w:ascii="宋体" w:hAnsi="宋体" w:eastAsia="宋体" w:cs="宋体"/>
          <w:sz w:val="28"/>
          <w:szCs w:val="28"/>
        </w:rPr>
        <w:t>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sz w:val="21"/>
          <w:szCs w:val="21"/>
          <w:u w:val="none"/>
        </w:rPr>
        <w:t>全息防伪生产线建设项目</w:t>
      </w:r>
      <w:r>
        <w:rPr>
          <w:rFonts w:hint="eastAsia" w:asciiTheme="minorEastAsia" w:hAnsiTheme="minorEastAsia" w:eastAsiaTheme="minorEastAsia" w:cstheme="minorEastAsia"/>
          <w:sz w:val="21"/>
          <w:szCs w:val="21"/>
        </w:rPr>
        <w:t>环境影</w:t>
      </w:r>
      <w:r>
        <w:rPr>
          <w:rFonts w:hint="eastAsia" w:asciiTheme="minorEastAsia" w:hAnsiTheme="minorEastAsia" w:eastAsiaTheme="minorEastAsia" w:cstheme="minorEastAsia"/>
        </w:rPr>
        <w:t>响报告表》，现就项目环评相关情况予以公示5个工作日。如有意见，请在公示期内向我局来信来电进行反映。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u w:val="none"/>
              </w:rPr>
              <w:t>全息防伪生产线建设项目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经开区</w:t>
            </w:r>
            <w:r>
              <w:rPr>
                <w:rFonts w:hint="eastAsia" w:asciiTheme="minorEastAsia" w:hAnsiTheme="minorEastAsia" w:eastAsiaTheme="minorEastAsia" w:cstheme="minorEastAsia"/>
                <w:color w:val="000000"/>
                <w:sz w:val="21"/>
                <w:szCs w:val="21"/>
                <w:u w:val="none"/>
              </w:rPr>
              <w:t>湖南恒至凿岩科技股份有限公司D栋厂房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sz w:val="21"/>
                <w:szCs w:val="21"/>
                <w:u w:val="none"/>
              </w:rPr>
              <w:t>湖南清松经泽科技开发有限公司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湖南润美环保科技服务有限公司</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ind w:firstLine="420" w:firstLineChars="200"/>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sz w:val="21"/>
                <w:szCs w:val="21"/>
                <w:u w:val="none"/>
              </w:rPr>
              <w:t>全息防伪生产线建设项目</w:t>
            </w:r>
            <w:r>
              <w:rPr>
                <w:rFonts w:hint="eastAsia" w:asciiTheme="minorEastAsia" w:hAnsiTheme="minorEastAsia" w:eastAsiaTheme="minorEastAsia" w:cstheme="minorEastAsia"/>
                <w:sz w:val="21"/>
                <w:szCs w:val="21"/>
                <w:u w:val="none"/>
                <w:lang w:val="en-GB"/>
              </w:rPr>
              <w:t>位于</w:t>
            </w:r>
            <w:r>
              <w:rPr>
                <w:rFonts w:hint="eastAsia" w:asciiTheme="minorEastAsia" w:hAnsiTheme="minorEastAsia" w:eastAsiaTheme="minorEastAsia" w:cstheme="minorEastAsia"/>
                <w:color w:val="000000"/>
                <w:sz w:val="21"/>
                <w:szCs w:val="21"/>
                <w:u w:val="none"/>
              </w:rPr>
              <w:t>常德经济技术开发区湖南恒至凿岩科技股份有限公司D栋厂房</w:t>
            </w:r>
            <w:r>
              <w:rPr>
                <w:rFonts w:hint="eastAsia" w:asciiTheme="minorEastAsia" w:hAnsiTheme="minorEastAsia" w:eastAsiaTheme="minorEastAsia" w:cstheme="minorEastAsia"/>
                <w:sz w:val="21"/>
                <w:szCs w:val="21"/>
                <w:u w:val="none"/>
              </w:rPr>
              <w:t>，龙梅街以南，规划中枫林路以南，坐标：E</w:t>
            </w:r>
            <w:r>
              <w:rPr>
                <w:rFonts w:hint="eastAsia" w:asciiTheme="minorEastAsia" w:hAnsiTheme="minorEastAsia" w:eastAsiaTheme="minorEastAsia" w:cstheme="minorEastAsia"/>
                <w:spacing w:val="-2"/>
                <w:sz w:val="21"/>
                <w:szCs w:val="21"/>
                <w:u w:val="none"/>
              </w:rPr>
              <w:t>111°41′47″</w:t>
            </w:r>
            <w:r>
              <w:rPr>
                <w:rFonts w:hint="eastAsia" w:asciiTheme="minorEastAsia" w:hAnsiTheme="minorEastAsia" w:eastAsiaTheme="minorEastAsia" w:cstheme="minorEastAsia"/>
                <w:sz w:val="21"/>
                <w:szCs w:val="21"/>
                <w:u w:val="none"/>
              </w:rPr>
              <w:t>，N：</w:t>
            </w:r>
            <w:r>
              <w:rPr>
                <w:rFonts w:hint="eastAsia" w:asciiTheme="minorEastAsia" w:hAnsiTheme="minorEastAsia" w:eastAsiaTheme="minorEastAsia" w:cstheme="minorEastAsia"/>
                <w:spacing w:val="-2"/>
                <w:sz w:val="21"/>
                <w:szCs w:val="21"/>
                <w:u w:val="none"/>
              </w:rPr>
              <w:t>28°56′13″</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GB"/>
              </w:rPr>
              <w:t>本项目</w:t>
            </w:r>
            <w:r>
              <w:rPr>
                <w:rFonts w:hint="eastAsia" w:asciiTheme="minorEastAsia" w:hAnsiTheme="minorEastAsia" w:eastAsiaTheme="minorEastAsia" w:cstheme="minorEastAsia"/>
                <w:sz w:val="21"/>
                <w:szCs w:val="21"/>
                <w:u w:val="none"/>
              </w:rPr>
              <w:t>占地面积3000m</w:t>
            </w:r>
            <w:r>
              <w:rPr>
                <w:rFonts w:hint="eastAsia" w:asciiTheme="minorEastAsia" w:hAnsiTheme="minorEastAsia" w:eastAsiaTheme="minorEastAsia" w:cstheme="minorEastAsia"/>
                <w:sz w:val="21"/>
                <w:szCs w:val="21"/>
                <w:u w:val="none"/>
                <w:vertAlign w:val="superscript"/>
              </w:rPr>
              <w:t>2</w:t>
            </w:r>
            <w:r>
              <w:rPr>
                <w:rFonts w:hint="eastAsia" w:asciiTheme="minorEastAsia" w:hAnsiTheme="minorEastAsia" w:eastAsiaTheme="minorEastAsia" w:cstheme="minorEastAsia"/>
                <w:sz w:val="21"/>
                <w:szCs w:val="21"/>
                <w:u w:val="none"/>
              </w:rPr>
              <w:t>（生产车间2500m</w:t>
            </w:r>
            <w:r>
              <w:rPr>
                <w:rFonts w:hint="eastAsia" w:asciiTheme="minorEastAsia" w:hAnsiTheme="minorEastAsia" w:eastAsiaTheme="minorEastAsia" w:cstheme="minorEastAsia"/>
                <w:sz w:val="21"/>
                <w:szCs w:val="21"/>
                <w:u w:val="none"/>
                <w:vertAlign w:val="superscript"/>
              </w:rPr>
              <w:t>2</w:t>
            </w:r>
            <w:r>
              <w:rPr>
                <w:rFonts w:hint="eastAsia" w:asciiTheme="minorEastAsia" w:hAnsiTheme="minorEastAsia" w:eastAsiaTheme="minorEastAsia" w:cstheme="minorEastAsia"/>
                <w:sz w:val="21"/>
                <w:szCs w:val="21"/>
                <w:u w:val="none"/>
              </w:rPr>
              <w:t>），总投资5000万元，其中环保投资50万元，主要生产全息定位标5000卷。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left="420" w:leftChars="200"/>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sz w:val="21"/>
                <w:szCs w:val="21"/>
                <w:u w:val="none"/>
              </w:rPr>
              <w:t>（1）水环境影响评价结论</w:t>
            </w:r>
          </w:p>
          <w:p>
            <w:pPr>
              <w:spacing w:line="360" w:lineRule="auto"/>
              <w:ind w:firstLine="420" w:firstLineChars="20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生活污水依托出租方化粪池预处理后入市政污水管网达到《污水综合排放标准》（GB8978-1996）三级标准和常德清蓝水务有限公司进水水质要求进过处理，尾水经东风河排入沅江；初期雨水依托园区雨水管网排入市政雨水收集管网入东风河进沅水；建设单位落实环保设施，加强管理，确保污水都能达标排放，则经处理后外排的污水不会对纳污水体的水环境质量造成明显的不良影响。</w:t>
            </w:r>
          </w:p>
          <w:p>
            <w:pPr>
              <w:spacing w:line="360" w:lineRule="auto"/>
              <w:ind w:firstLine="420" w:firstLineChars="200"/>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sz w:val="21"/>
                <w:szCs w:val="21"/>
                <w:u w:val="none"/>
              </w:rPr>
              <w:t>（2）大气环境影响评价结论</w:t>
            </w:r>
          </w:p>
          <w:p>
            <w:pPr>
              <w:spacing w:line="360" w:lineRule="auto"/>
              <w:ind w:firstLine="420" w:firstLineChars="200"/>
              <w:rPr>
                <w:rFonts w:hint="eastAsia" w:asciiTheme="minorEastAsia" w:hAnsiTheme="minorEastAsia" w:eastAsiaTheme="minorEastAsia" w:cstheme="minorEastAsia"/>
                <w:sz w:val="21"/>
                <w:szCs w:val="21"/>
                <w:u w:val="none"/>
              </w:rPr>
            </w:pPr>
            <w:bookmarkStart w:id="0" w:name="OLE_LINK4"/>
            <w:r>
              <w:rPr>
                <w:rFonts w:hint="eastAsia" w:asciiTheme="minorEastAsia" w:hAnsiTheme="minorEastAsia" w:eastAsiaTheme="minorEastAsia" w:cstheme="minorEastAsia"/>
                <w:color w:val="000000"/>
                <w:sz w:val="21"/>
                <w:szCs w:val="21"/>
                <w:u w:val="none"/>
              </w:rPr>
              <w:t>本项目涂布车间</w:t>
            </w:r>
            <w:r>
              <w:rPr>
                <w:rFonts w:hint="eastAsia" w:asciiTheme="minorEastAsia" w:hAnsiTheme="minorEastAsia" w:eastAsiaTheme="minorEastAsia" w:cstheme="minorEastAsia"/>
                <w:color w:val="000000"/>
                <w:sz w:val="21"/>
                <w:szCs w:val="21"/>
                <w:u w:val="none"/>
                <w:lang w:val="en-US" w:eastAsia="zh-CN"/>
              </w:rPr>
              <w:t>+原料调配间</w:t>
            </w:r>
            <w:r>
              <w:rPr>
                <w:rFonts w:hint="eastAsia" w:asciiTheme="minorEastAsia" w:hAnsiTheme="minorEastAsia" w:eastAsiaTheme="minorEastAsia" w:cstheme="minorEastAsia"/>
                <w:color w:val="000000"/>
                <w:sz w:val="21"/>
                <w:szCs w:val="21"/>
                <w:u w:val="none"/>
              </w:rPr>
              <w:t>产生的挥发性有机废气经车间整体封闭</w:t>
            </w:r>
            <w:r>
              <w:rPr>
                <w:rFonts w:hint="eastAsia" w:asciiTheme="minorEastAsia" w:hAnsiTheme="minorEastAsia" w:eastAsiaTheme="minorEastAsia" w:cstheme="minorEastAsia"/>
                <w:sz w:val="21"/>
                <w:szCs w:val="21"/>
                <w:u w:val="none"/>
              </w:rPr>
              <w:t>+固定床活性炭吸附+光催化氧化处理后满足湖南省《印刷业挥发性有机物排放标准》（DB43/1357-2017）中表1中浓度限值要求后经15m高排气筒达标排出；镀铝车间产生颗粒物经</w:t>
            </w:r>
            <w:r>
              <w:rPr>
                <w:rFonts w:hint="eastAsia" w:asciiTheme="minorEastAsia" w:hAnsiTheme="minorEastAsia" w:eastAsiaTheme="minorEastAsia" w:cstheme="minorEastAsia"/>
                <w:sz w:val="21"/>
                <w:szCs w:val="21"/>
                <w:u w:val="none"/>
                <w:lang w:val="en-US" w:eastAsia="zh-CN"/>
              </w:rPr>
              <w:t>密封收集+车间空气调节系统处理后</w:t>
            </w:r>
            <w:r>
              <w:rPr>
                <w:rFonts w:hint="eastAsia" w:asciiTheme="minorEastAsia" w:hAnsiTheme="minorEastAsia" w:eastAsiaTheme="minorEastAsia" w:cstheme="minorEastAsia"/>
                <w:sz w:val="21"/>
                <w:szCs w:val="21"/>
                <w:u w:val="none"/>
              </w:rPr>
              <w:t>以无组织形式直接排入外环境，</w:t>
            </w:r>
            <w:r>
              <w:rPr>
                <w:rFonts w:hint="eastAsia" w:asciiTheme="minorEastAsia" w:hAnsiTheme="minorEastAsia" w:eastAsiaTheme="minorEastAsia" w:cstheme="minorEastAsia"/>
                <w:color w:val="000000"/>
                <w:sz w:val="21"/>
                <w:szCs w:val="21"/>
                <w:u w:val="none"/>
              </w:rPr>
              <w:t>经预测</w:t>
            </w:r>
            <w:r>
              <w:rPr>
                <w:rFonts w:hint="eastAsia" w:asciiTheme="minorEastAsia" w:hAnsiTheme="minorEastAsia" w:eastAsiaTheme="minorEastAsia" w:cstheme="minorEastAsia"/>
                <w:sz w:val="21"/>
                <w:szCs w:val="21"/>
                <w:u w:val="none"/>
              </w:rPr>
              <w:t>能达到《环境空气质量标准》（GB3095-2012）表1及2018年修改单限值要求</w:t>
            </w:r>
            <w:r>
              <w:rPr>
                <w:rFonts w:hint="eastAsia" w:asciiTheme="minorEastAsia" w:hAnsiTheme="minorEastAsia" w:eastAsiaTheme="minorEastAsia" w:cstheme="minorEastAsia"/>
                <w:color w:val="000000"/>
                <w:sz w:val="21"/>
                <w:szCs w:val="21"/>
                <w:u w:val="none"/>
              </w:rPr>
              <w:t>，无超标点</w:t>
            </w:r>
            <w:r>
              <w:rPr>
                <w:rFonts w:hint="eastAsia" w:asciiTheme="minorEastAsia" w:hAnsiTheme="minorEastAsia" w:cstheme="minorEastAsia"/>
                <w:color w:val="000000"/>
                <w:sz w:val="21"/>
                <w:szCs w:val="21"/>
                <w:u w:val="none"/>
                <w:lang w:eastAsia="zh-CN"/>
              </w:rPr>
              <w:t>。</w:t>
            </w:r>
          </w:p>
          <w:bookmarkEnd w:id="0"/>
          <w:p>
            <w:pPr>
              <w:spacing w:line="360" w:lineRule="auto"/>
              <w:ind w:firstLine="420" w:firstLineChars="200"/>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sz w:val="21"/>
                <w:szCs w:val="21"/>
                <w:u w:val="none"/>
              </w:rPr>
              <w:t>（3）声环境影响评价结论</w:t>
            </w:r>
          </w:p>
          <w:p>
            <w:pPr>
              <w:snapToGrid w:val="0"/>
              <w:spacing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sz w:val="21"/>
                <w:szCs w:val="21"/>
                <w:u w:val="none"/>
              </w:rPr>
              <w:t>通过合理布局、结合天然地形屏障、距离衰减等措施并合理安排取（弃）土时间和运输时间，控制行车速度及禁鸣喇叭，不降低敏感目标处声环境功能级别，</w:t>
            </w:r>
            <w:r>
              <w:rPr>
                <w:rFonts w:hint="eastAsia" w:asciiTheme="minorEastAsia" w:hAnsiTheme="minorEastAsia" w:eastAsiaTheme="minorEastAsia" w:cstheme="minorEastAsia"/>
                <w:color w:val="000000"/>
                <w:sz w:val="21"/>
                <w:szCs w:val="21"/>
                <w:u w:val="none"/>
              </w:rPr>
              <w:t>能够达到《工业企业厂界环境噪声排放标准》2类和3类标准，对周围环境的影响较小。</w:t>
            </w:r>
          </w:p>
          <w:p>
            <w:pPr>
              <w:spacing w:line="360" w:lineRule="auto"/>
              <w:ind w:firstLine="420" w:firstLineChars="200"/>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sz w:val="21"/>
                <w:szCs w:val="21"/>
                <w:u w:val="none"/>
              </w:rPr>
              <w:t>（4）固体废物环境影响评价结论</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none"/>
              </w:rPr>
              <w:t>建项目运营过程</w:t>
            </w:r>
            <w:r>
              <w:rPr>
                <w:rFonts w:hint="eastAsia" w:asciiTheme="minorEastAsia" w:hAnsiTheme="minorEastAsia" w:eastAsiaTheme="minorEastAsia" w:cstheme="minorEastAsia"/>
                <w:color w:val="000000"/>
                <w:sz w:val="21"/>
                <w:szCs w:val="21"/>
                <w:u w:val="none"/>
              </w:rPr>
              <w:t>生活垃圾收集后由当地环卫部门统一清运处理，一般固废统一收集</w:t>
            </w:r>
            <w:r>
              <w:rPr>
                <w:rFonts w:hint="eastAsia" w:asciiTheme="minorEastAsia" w:hAnsiTheme="minorEastAsia" w:eastAsiaTheme="minorEastAsia" w:cstheme="minorEastAsia"/>
                <w:sz w:val="21"/>
                <w:szCs w:val="21"/>
                <w:u w:val="none"/>
              </w:rPr>
              <w:t>后由相关收购单位回收利用，危险废物现场暂存后，</w:t>
            </w:r>
            <w:r>
              <w:rPr>
                <w:rFonts w:hint="eastAsia" w:asciiTheme="minorEastAsia" w:hAnsiTheme="minorEastAsia" w:eastAsiaTheme="minorEastAsia" w:cstheme="minorEastAsia"/>
                <w:color w:val="000000"/>
                <w:sz w:val="21"/>
                <w:szCs w:val="21"/>
                <w:u w:val="none"/>
              </w:rPr>
              <w:t>定期委托资质单位进行收集处理处置，固体废物合理处置。</w:t>
            </w:r>
          </w:p>
        </w:tc>
      </w:tr>
    </w:tbl>
    <w:p>
      <w:pP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 xml:space="preserve">                                                    </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199828BF"/>
    <w:rsid w:val="25A76A75"/>
    <w:rsid w:val="31CC655E"/>
    <w:rsid w:val="3C0027E3"/>
    <w:rsid w:val="43EF0FE7"/>
    <w:rsid w:val="45DF1F68"/>
    <w:rsid w:val="47413374"/>
    <w:rsid w:val="497D1396"/>
    <w:rsid w:val="562A018F"/>
    <w:rsid w:val="65614A73"/>
    <w:rsid w:val="674B35A8"/>
    <w:rsid w:val="6C117F36"/>
    <w:rsid w:val="77D25EB4"/>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260" w:after="260" w:line="415" w:lineRule="auto"/>
      <w:outlineLvl w:val="2"/>
    </w:pPr>
    <w:rPr>
      <w:rFonts w:eastAsia="黑体"/>
      <w:b/>
      <w:sz w:val="28"/>
      <w:szCs w:val="32"/>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8">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2</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