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0" w:firstLineChars="700"/>
        <w:rPr>
          <w:rFonts w:hint="eastAsia"/>
          <w:sz w:val="24"/>
          <w:szCs w:val="24"/>
        </w:rPr>
      </w:pPr>
    </w:p>
    <w:p>
      <w:pPr>
        <w:ind w:firstLine="2800" w:firstLineChars="1000"/>
        <w:rPr>
          <w:rFonts w:hAnsi="宋体"/>
          <w:sz w:val="28"/>
          <w:szCs w:val="28"/>
        </w:rPr>
      </w:pPr>
      <w:r>
        <w:rPr>
          <w:rFonts w:hAnsi="宋体"/>
          <w:sz w:val="28"/>
          <w:szCs w:val="28"/>
        </w:rPr>
        <w:t>湖南德昶通讯工程有限公司</w:t>
      </w:r>
    </w:p>
    <w:p>
      <w:pPr>
        <w:ind w:firstLine="1680" w:firstLineChars="600"/>
        <w:rPr>
          <w:rFonts w:hint="eastAsia" w:asciiTheme="minorEastAsia" w:hAnsiTheme="minorEastAsia" w:eastAsiaTheme="minorEastAsia" w:cstheme="minorEastAsia"/>
          <w:sz w:val="28"/>
          <w:szCs w:val="28"/>
        </w:rPr>
      </w:pPr>
      <w:r>
        <w:rPr>
          <w:sz w:val="28"/>
          <w:szCs w:val="28"/>
        </w:rPr>
        <w:t>铁塔制造及热镀锌项目变更说明</w:t>
      </w:r>
      <w:r>
        <w:rPr>
          <w:rFonts w:hint="eastAsia" w:asciiTheme="minorEastAsia" w:hAnsiTheme="minorEastAsia" w:eastAsiaTheme="minorEastAsia" w:cstheme="minorEastAsia"/>
          <w:sz w:val="28"/>
          <w:szCs w:val="28"/>
        </w:rPr>
        <w:t>拟审批公示</w:t>
      </w:r>
    </w:p>
    <w:p>
      <w:pPr>
        <w:rPr>
          <w:rFonts w:hint="eastAsia"/>
          <w:sz w:val="24"/>
          <w:szCs w:val="24"/>
        </w:rPr>
      </w:pPr>
      <w:r>
        <w:rPr>
          <w:rFonts w:hint="eastAsia"/>
        </w:rPr>
        <w:t xml:space="preserve">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经审议，我局拟于近日内批准《</w:t>
      </w:r>
      <w:r>
        <w:rPr>
          <w:rFonts w:hAnsi="宋体"/>
          <w:sz w:val="24"/>
          <w:szCs w:val="24"/>
        </w:rPr>
        <w:t>湖南德昶通讯工程有限公司</w:t>
      </w:r>
      <w:r>
        <w:rPr>
          <w:sz w:val="24"/>
          <w:szCs w:val="24"/>
        </w:rPr>
        <w:t>铁塔制造及热镀锌项目变更说明</w:t>
      </w:r>
      <w:r>
        <w:rPr>
          <w:rFonts w:hint="eastAsia" w:asciiTheme="minorEastAsia" w:hAnsiTheme="minorEastAsia" w:eastAsiaTheme="minorEastAsia" w:cstheme="minorEastAsia"/>
          <w:sz w:val="24"/>
          <w:szCs w:val="24"/>
        </w:rPr>
        <w:t>》，现就项目环评相关情况予以公示5个工作日。如有意见，请在公示期内向我局来信来电进行反映。</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联系地址：常德市德山大道369号  邮编：415001</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联系电话：0736-7312225</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听证告知：依据《中华人民共和国行政许可法》，自公示之日起五个工作日内申请人、利害关系人可对以下拟作出的建设项目环境影响评价文件批复决定提出听证申请。</w:t>
      </w:r>
    </w:p>
    <w:tbl>
      <w:tblPr>
        <w:tblStyle w:val="7"/>
        <w:tblpPr w:leftFromText="180" w:rightFromText="180" w:vertAnchor="text" w:horzAnchor="page" w:tblpX="1867" w:tblpY="50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sz w:val="24"/>
                <w:szCs w:val="24"/>
              </w:rPr>
            </w:pPr>
            <w:r>
              <w:rPr>
                <w:sz w:val="24"/>
                <w:szCs w:val="24"/>
              </w:rPr>
              <w:t>铁塔制造及热镀锌项目变更说明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建设地点</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4"/>
                <w:szCs w:val="24"/>
                <w:u w:val="none"/>
                <w:lang w:val="en-US" w:eastAsia="zh-CN"/>
              </w:rPr>
            </w:pPr>
            <w:r>
              <w:rPr>
                <w:rFonts w:hint="eastAsia"/>
                <w:sz w:val="24"/>
                <w:lang w:eastAsia="zh-CN"/>
              </w:rPr>
              <w:t>经开区</w:t>
            </w:r>
            <w:r>
              <w:rPr>
                <w:sz w:val="24"/>
              </w:rPr>
              <w:t>民建路以北，</w:t>
            </w:r>
            <w:r>
              <w:rPr>
                <w:kern w:val="0"/>
                <w:sz w:val="24"/>
              </w:rPr>
              <w:t>德施普惠西侧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建设单位</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4"/>
                <w:szCs w:val="24"/>
                <w:u w:val="none"/>
              </w:rPr>
            </w:pPr>
            <w:r>
              <w:rPr>
                <w:rFonts w:hAnsi="宋体"/>
                <w:sz w:val="24"/>
                <w:szCs w:val="24"/>
              </w:rPr>
              <w:t>湖南德昶通讯工程有限公司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环评机构</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4"/>
                <w:szCs w:val="24"/>
                <w:u w:val="none"/>
                <w:lang w:val="en-US" w:eastAsia="zh-CN"/>
              </w:rPr>
            </w:pPr>
            <w:r>
              <w:rPr>
                <w:rFonts w:hint="eastAsia"/>
                <w:kern w:val="0"/>
                <w:sz w:val="24"/>
                <w:szCs w:val="24"/>
                <w:lang w:eastAsia="zh-CN"/>
              </w:rPr>
              <w:t>常德市双赢</w:t>
            </w:r>
            <w:r>
              <w:rPr>
                <w:kern w:val="0"/>
                <w:sz w:val="24"/>
                <w:szCs w:val="24"/>
              </w:rPr>
              <w:t>环境咨询服务有限公司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tc>
        <w:tc>
          <w:tcPr>
            <w:tcW w:w="7025" w:type="dxa"/>
            <w:tcBorders>
              <w:top w:val="single" w:color="auto" w:sz="4" w:space="0"/>
              <w:left w:val="nil"/>
              <w:bottom w:val="single" w:color="auto" w:sz="4" w:space="0"/>
              <w:right w:val="single" w:color="auto" w:sz="4" w:space="0"/>
            </w:tcBorders>
            <w:vAlign w:val="top"/>
          </w:tcPr>
          <w:p>
            <w:pPr>
              <w:spacing w:line="360" w:lineRule="auto"/>
              <w:ind w:firstLine="480" w:firstLineChars="200"/>
              <w:rPr>
                <w:rFonts w:hint="eastAsia" w:asciiTheme="minorEastAsia" w:hAnsiTheme="minorEastAsia" w:eastAsiaTheme="minorEastAsia" w:cstheme="minorEastAsia"/>
                <w:color w:val="auto"/>
                <w:sz w:val="24"/>
                <w:szCs w:val="24"/>
                <w:u w:val="none"/>
                <w:lang w:eastAsia="zh-CN"/>
              </w:rPr>
            </w:pPr>
            <w:r>
              <w:rPr>
                <w:rFonts w:hAnsi="宋体"/>
                <w:sz w:val="24"/>
              </w:rPr>
              <w:t>湖南德昶通讯工程有限公司于</w:t>
            </w:r>
            <w:r>
              <w:rPr>
                <w:sz w:val="24"/>
              </w:rPr>
              <w:t>2018</w:t>
            </w:r>
            <w:r>
              <w:rPr>
                <w:rFonts w:hAnsi="宋体"/>
                <w:sz w:val="24"/>
              </w:rPr>
              <w:t>年投资</w:t>
            </w:r>
            <w:r>
              <w:rPr>
                <w:sz w:val="24"/>
              </w:rPr>
              <w:t>8800</w:t>
            </w:r>
            <w:r>
              <w:rPr>
                <w:rFonts w:hAnsi="宋体"/>
                <w:sz w:val="24"/>
              </w:rPr>
              <w:t>万在</w:t>
            </w:r>
            <w:r>
              <w:rPr>
                <w:sz w:val="24"/>
              </w:rPr>
              <w:t>常德经济技术开发区民建路以北，</w:t>
            </w:r>
            <w:r>
              <w:rPr>
                <w:kern w:val="0"/>
                <w:sz w:val="24"/>
              </w:rPr>
              <w:t>德施普惠西侧建设</w:t>
            </w:r>
            <w:r>
              <w:rPr>
                <w:sz w:val="24"/>
              </w:rPr>
              <w:t>铁塔制造及热镀锌项目，该工程占地面积29432.44m</w:t>
            </w:r>
            <w:r>
              <w:rPr>
                <w:sz w:val="24"/>
                <w:vertAlign w:val="superscript"/>
              </w:rPr>
              <w:t>2</w:t>
            </w:r>
            <w:r>
              <w:rPr>
                <w:sz w:val="24"/>
              </w:rPr>
              <w:t>，</w:t>
            </w:r>
            <w:r>
              <w:rPr>
                <w:rFonts w:hint="eastAsia"/>
                <w:sz w:val="24"/>
              </w:rPr>
              <w:t>具备</w:t>
            </w:r>
            <w:r>
              <w:rPr>
                <w:sz w:val="24"/>
              </w:rPr>
              <w:t>年产通讯铁塔15000吨、电力铁塔10000吨、热镀锌处理25000吨、喷塑2000吨的生产能力。由于项目工艺变化</w:t>
            </w:r>
            <w:r>
              <w:rPr>
                <w:rFonts w:hint="eastAsia"/>
                <w:sz w:val="24"/>
              </w:rPr>
              <w:t>（</w:t>
            </w:r>
            <w:r>
              <w:rPr>
                <w:sz w:val="24"/>
              </w:rPr>
              <w:t>需增加盐酸酸洗工艺除锈</w:t>
            </w:r>
            <w:r>
              <w:rPr>
                <w:rFonts w:hint="eastAsia"/>
                <w:sz w:val="24"/>
              </w:rPr>
              <w:t>）</w:t>
            </w:r>
            <w:r>
              <w:rPr>
                <w:sz w:val="24"/>
              </w:rPr>
              <w:t>，为此，公司委托常德市双赢环境咨询服务有限公司对《铁塔制造及热镀锌项目》进行变更说明。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主要环境影响及预防或者减轻不良环境影响的对策和措施</w:t>
            </w:r>
          </w:p>
        </w:tc>
        <w:tc>
          <w:tcPr>
            <w:tcW w:w="7025" w:type="dxa"/>
            <w:tcBorders>
              <w:top w:val="single" w:color="auto" w:sz="4" w:space="0"/>
              <w:left w:val="nil"/>
              <w:bottom w:val="single" w:color="auto" w:sz="4" w:space="0"/>
              <w:right w:val="single" w:color="auto" w:sz="4" w:space="0"/>
            </w:tcBorders>
          </w:tcPr>
          <w:p>
            <w:pPr>
              <w:spacing w:line="360" w:lineRule="auto"/>
              <w:ind w:firstLine="480" w:firstLineChars="200"/>
              <w:rPr>
                <w:rFonts w:hint="eastAsia"/>
                <w:b/>
                <w:bCs/>
                <w:sz w:val="24"/>
                <w:lang w:eastAsia="zh-CN"/>
              </w:rPr>
            </w:pPr>
            <w:r>
              <w:rPr>
                <w:rFonts w:hint="eastAsia"/>
                <w:b/>
                <w:bCs/>
                <w:sz w:val="24"/>
                <w:lang w:eastAsia="zh-CN"/>
              </w:rPr>
              <w:t>所采取的污染防治措施</w:t>
            </w:r>
          </w:p>
          <w:p>
            <w:pPr>
              <w:spacing w:line="360" w:lineRule="auto"/>
              <w:ind w:firstLine="480" w:firstLineChars="200"/>
              <w:rPr>
                <w:rFonts w:hint="eastAsia" w:hAnsi="宋体"/>
                <w:b/>
                <w:bCs/>
                <w:sz w:val="24"/>
              </w:rPr>
            </w:pPr>
            <w:r>
              <w:rPr>
                <w:rFonts w:hint="eastAsia" w:ascii="宋体"/>
                <w:b/>
                <w:bCs/>
                <w:sz w:val="24"/>
              </w:rPr>
              <w:t>废水</w:t>
            </w:r>
          </w:p>
          <w:p>
            <w:pPr>
              <w:spacing w:line="360" w:lineRule="auto"/>
              <w:ind w:firstLine="480" w:firstLineChars="200"/>
              <w:rPr>
                <w:rFonts w:hint="eastAsia" w:hAnsi="宋体"/>
                <w:sz w:val="24"/>
              </w:rPr>
            </w:pPr>
            <w:r>
              <w:rPr>
                <w:rFonts w:hint="eastAsia"/>
                <w:sz w:val="24"/>
              </w:rPr>
              <w:t>1、</w:t>
            </w:r>
            <w:r>
              <w:rPr>
                <w:rFonts w:hint="eastAsia" w:ascii="宋体"/>
                <w:sz w:val="24"/>
              </w:rPr>
              <w:t>生产废水</w:t>
            </w:r>
          </w:p>
          <w:p>
            <w:pPr>
              <w:autoSpaceDE w:val="0"/>
              <w:autoSpaceDN w:val="0"/>
              <w:adjustRightInd w:val="0"/>
              <w:spacing w:line="360" w:lineRule="auto"/>
              <w:ind w:firstLine="480"/>
              <w:rPr>
                <w:rFonts w:hint="eastAsia"/>
                <w:sz w:val="24"/>
              </w:rPr>
            </w:pPr>
            <w:r>
              <w:rPr>
                <w:rFonts w:hint="eastAsia"/>
                <w:sz w:val="24"/>
              </w:rPr>
              <w:t>变更后地面冲洗水排放情况不变，增加清洗废水处理设施，废水通过加碱调节PH值是处理酸性废水的常用措施，措施可行。调节PH后清洗废水符合《污水综合排放标准》（GB8978-1996）三级标准，并满足德山</w:t>
            </w:r>
            <w:r>
              <w:rPr>
                <w:sz w:val="24"/>
              </w:rPr>
              <w:t>污水处理厂进水水质要求</w:t>
            </w:r>
            <w:r>
              <w:rPr>
                <w:rFonts w:hint="eastAsia"/>
                <w:sz w:val="24"/>
              </w:rPr>
              <w:t>，经处理达标后排放沅江，达标排放具有可靠性。</w:t>
            </w:r>
          </w:p>
          <w:p>
            <w:pPr>
              <w:spacing w:line="360" w:lineRule="auto"/>
              <w:ind w:firstLine="480" w:firstLineChars="200"/>
              <w:rPr>
                <w:rFonts w:hint="eastAsia"/>
                <w:sz w:val="24"/>
              </w:rPr>
            </w:pPr>
            <w:r>
              <w:rPr>
                <w:sz w:val="24"/>
              </w:rPr>
              <w:t>2</w:t>
            </w:r>
            <w:r>
              <w:rPr>
                <w:rFonts w:hAnsi="宋体"/>
                <w:sz w:val="24"/>
              </w:rPr>
              <w:t>、</w:t>
            </w:r>
            <w:r>
              <w:rPr>
                <w:rFonts w:hint="eastAsia"/>
                <w:sz w:val="24"/>
              </w:rPr>
              <w:t>生活废水</w:t>
            </w:r>
          </w:p>
          <w:p>
            <w:pPr>
              <w:pStyle w:val="12"/>
              <w:rPr>
                <w:rFonts w:hint="eastAsia"/>
              </w:rPr>
            </w:pPr>
            <w:r>
              <w:rPr>
                <w:rFonts w:hint="eastAsia"/>
              </w:rPr>
              <w:t>变更后生活废水处理措施和去向不变。</w:t>
            </w:r>
          </w:p>
          <w:p>
            <w:pPr>
              <w:spacing w:line="360" w:lineRule="auto"/>
              <w:ind w:firstLine="480" w:firstLineChars="200"/>
              <w:rPr>
                <w:rFonts w:hint="eastAsia" w:hAnsi="宋体"/>
                <w:b/>
                <w:color w:val="000000"/>
                <w:sz w:val="24"/>
              </w:rPr>
            </w:pPr>
            <w:r>
              <w:rPr>
                <w:rFonts w:hAnsi="宋体"/>
                <w:b/>
                <w:color w:val="000000"/>
                <w:sz w:val="24"/>
              </w:rPr>
              <w:t>废气</w:t>
            </w:r>
            <w:r>
              <w:rPr>
                <w:rFonts w:hint="eastAsia" w:hAnsi="宋体"/>
                <w:b/>
                <w:color w:val="000000"/>
                <w:sz w:val="24"/>
              </w:rPr>
              <w:t xml:space="preserve"> </w:t>
            </w:r>
          </w:p>
          <w:p>
            <w:pPr>
              <w:spacing w:line="360" w:lineRule="auto"/>
              <w:ind w:firstLine="480" w:firstLineChars="200"/>
              <w:rPr>
                <w:rFonts w:hint="eastAsia"/>
                <w:sz w:val="24"/>
              </w:rPr>
            </w:pPr>
            <w:r>
              <w:rPr>
                <w:sz w:val="24"/>
              </w:rPr>
              <w:t>1</w:t>
            </w:r>
            <w:r>
              <w:rPr>
                <w:rFonts w:hAnsi="宋体"/>
                <w:sz w:val="24"/>
              </w:rPr>
              <w:t>、</w:t>
            </w:r>
            <w:r>
              <w:rPr>
                <w:rFonts w:hint="eastAsia"/>
                <w:sz w:val="24"/>
              </w:rPr>
              <w:t>盐酸雾</w:t>
            </w:r>
          </w:p>
          <w:p>
            <w:pPr>
              <w:spacing w:line="360" w:lineRule="auto"/>
              <w:ind w:firstLine="480"/>
              <w:rPr>
                <w:rFonts w:hint="eastAsia"/>
                <w:sz w:val="24"/>
              </w:rPr>
            </w:pPr>
            <w:r>
              <w:rPr>
                <w:rFonts w:hint="eastAsia"/>
                <w:sz w:val="24"/>
              </w:rPr>
              <w:t>变更后新增酸洗工序，酸洗过程中会产生盐酸雾。环评推荐采用集气罩+酸雾喷淋洗涤塔处理方式处理盐酸雾。</w:t>
            </w:r>
          </w:p>
          <w:p>
            <w:pPr>
              <w:spacing w:line="360" w:lineRule="auto"/>
              <w:ind w:firstLine="480" w:firstLineChars="200"/>
              <w:rPr>
                <w:rFonts w:hint="eastAsia"/>
                <w:sz w:val="24"/>
              </w:rPr>
            </w:pPr>
            <w:r>
              <w:rPr>
                <w:sz w:val="24"/>
              </w:rPr>
              <w:t>集气罩的效率与罩口的污染源的距离、罩口面积大小、抽风量大小有关。</w:t>
            </w:r>
            <w:r>
              <w:rPr>
                <w:rFonts w:hint="eastAsia"/>
                <w:sz w:val="24"/>
              </w:rPr>
              <w:t>盐酸雾在酸洗过程中产生量最大，对酸洗过程槽体加活动挡板，同时在槽两侧抽风，酸洗结束后，将镀件吊离酸洗槽，移走挡板，此时酸雾产生量小，槽两侧抽风依然在抽吸，经采取以上措施，可确保对盐酸雾的有效收集，收集效率可达90%。</w:t>
            </w:r>
          </w:p>
          <w:p>
            <w:pPr>
              <w:tabs>
                <w:tab w:val="left" w:pos="1280"/>
              </w:tabs>
              <w:spacing w:line="360" w:lineRule="auto"/>
              <w:ind w:firstLine="480" w:firstLineChars="200"/>
              <w:jc w:val="left"/>
              <w:rPr>
                <w:rFonts w:hint="eastAsia" w:eastAsiaTheme="minorEastAsia"/>
                <w:sz w:val="24"/>
                <w:lang w:eastAsia="zh-CN"/>
              </w:rPr>
            </w:pPr>
            <w:r>
              <w:rPr>
                <w:sz w:val="24"/>
              </w:rPr>
              <w:t>盐酸雾</w:t>
            </w:r>
            <w:r>
              <w:rPr>
                <w:rFonts w:hint="eastAsia"/>
                <w:sz w:val="24"/>
              </w:rPr>
              <w:t>由引风机引入酸雾喷淋洗涤塔，</w:t>
            </w:r>
            <w:r>
              <w:rPr>
                <w:rFonts w:hAnsi="宋体"/>
                <w:sz w:val="24"/>
              </w:rPr>
              <w:t>本项目采用的</w:t>
            </w:r>
            <w:r>
              <w:rPr>
                <w:rFonts w:hint="eastAsia"/>
                <w:sz w:val="24"/>
              </w:rPr>
              <w:t>酸雾喷淋洗涤塔</w:t>
            </w:r>
            <w:r>
              <w:rPr>
                <w:rFonts w:hAnsi="宋体"/>
                <w:sz w:val="24"/>
              </w:rPr>
              <w:t>为二级碱液喷淋塔，</w:t>
            </w:r>
            <w:r>
              <w:rPr>
                <w:rFonts w:hint="eastAsia" w:hAnsi="宋体"/>
                <w:sz w:val="24"/>
                <w:shd w:val="clear" w:color="auto" w:fill="FFFFFF"/>
              </w:rPr>
              <w:t>盐酸雾</w:t>
            </w:r>
            <w:r>
              <w:rPr>
                <w:rFonts w:hAnsi="宋体"/>
                <w:sz w:val="24"/>
                <w:shd w:val="clear" w:color="auto" w:fill="FFFFFF"/>
              </w:rPr>
              <w:t>经</w:t>
            </w:r>
            <w:r>
              <w:rPr>
                <w:rFonts w:hint="eastAsia"/>
                <w:sz w:val="24"/>
              </w:rPr>
              <w:t>集气罩</w:t>
            </w:r>
            <w:r>
              <w:rPr>
                <w:rFonts w:hAnsi="宋体"/>
                <w:sz w:val="24"/>
                <w:shd w:val="clear" w:color="auto" w:fill="FFFFFF"/>
              </w:rPr>
              <w:t>收集，经管道</w:t>
            </w:r>
            <w:r>
              <w:rPr>
                <w:rFonts w:hint="eastAsia" w:hAnsi="宋体"/>
                <w:sz w:val="24"/>
                <w:shd w:val="clear" w:color="auto" w:fill="FFFFFF"/>
              </w:rPr>
              <w:t>输送</w:t>
            </w:r>
            <w:r>
              <w:rPr>
                <w:rFonts w:hAnsi="宋体"/>
                <w:sz w:val="24"/>
                <w:shd w:val="clear" w:color="auto" w:fill="FFFFFF"/>
              </w:rPr>
              <w:t>进入</w:t>
            </w:r>
            <w:r>
              <w:rPr>
                <w:rFonts w:hAnsi="宋体"/>
                <w:sz w:val="24"/>
              </w:rPr>
              <w:t>二级碱液喷淋塔</w:t>
            </w:r>
            <w:r>
              <w:rPr>
                <w:rFonts w:hAnsi="宋体"/>
                <w:sz w:val="24"/>
                <w:shd w:val="clear" w:color="auto" w:fill="FFFFFF"/>
              </w:rPr>
              <w:t>，碱</w:t>
            </w:r>
            <w:r>
              <w:rPr>
                <w:rFonts w:hint="eastAsia" w:hAnsi="宋体"/>
                <w:sz w:val="24"/>
                <w:shd w:val="clear" w:color="auto" w:fill="FFFFFF"/>
              </w:rPr>
              <w:t>洗</w:t>
            </w:r>
            <w:r>
              <w:rPr>
                <w:rFonts w:hAnsi="宋体"/>
                <w:sz w:val="24"/>
              </w:rPr>
              <w:t>塔</w:t>
            </w:r>
            <w:r>
              <w:rPr>
                <w:rFonts w:hAnsi="宋体"/>
                <w:sz w:val="24"/>
                <w:shd w:val="clear" w:color="auto" w:fill="FFFFFF"/>
              </w:rPr>
              <w:t>体放置二层填料层并配置二级</w:t>
            </w:r>
            <w:r>
              <w:rPr>
                <w:rFonts w:hint="eastAsia" w:hAnsi="宋体"/>
                <w:sz w:val="24"/>
                <w:shd w:val="clear" w:color="auto" w:fill="FFFFFF"/>
              </w:rPr>
              <w:t>水喷淋</w:t>
            </w:r>
            <w:r>
              <w:rPr>
                <w:rFonts w:hAnsi="宋体"/>
                <w:sz w:val="24"/>
                <w:shd w:val="clear" w:color="auto" w:fill="FFFFFF"/>
              </w:rPr>
              <w:t>装置，并在水中加氢氧化钠，以中和</w:t>
            </w:r>
            <w:r>
              <w:rPr>
                <w:rFonts w:hint="eastAsia" w:hAnsi="宋体"/>
                <w:sz w:val="24"/>
                <w:shd w:val="clear" w:color="auto" w:fill="FFFFFF"/>
              </w:rPr>
              <w:t>吸收</w:t>
            </w:r>
            <w:r>
              <w:rPr>
                <w:rFonts w:hAnsi="宋体"/>
                <w:sz w:val="24"/>
                <w:shd w:val="clear" w:color="auto" w:fill="FFFFFF"/>
              </w:rPr>
              <w:t>废气中的酸雾，经二级喷淋塔装置清洗后完全能</w:t>
            </w:r>
            <w:r>
              <w:rPr>
                <w:rFonts w:hint="eastAsia" w:hAnsi="宋体"/>
                <w:sz w:val="24"/>
                <w:shd w:val="clear" w:color="auto" w:fill="FFFFFF"/>
              </w:rPr>
              <w:t>实现</w:t>
            </w:r>
            <w:r>
              <w:rPr>
                <w:rFonts w:hAnsi="宋体"/>
                <w:sz w:val="24"/>
                <w:shd w:val="clear" w:color="auto" w:fill="FFFFFF"/>
              </w:rPr>
              <w:t>达标排放。</w:t>
            </w:r>
            <w:r>
              <w:rPr>
                <w:rFonts w:hAnsi="宋体"/>
                <w:sz w:val="24"/>
              </w:rPr>
              <w:t>该设备处理效率可达</w:t>
            </w:r>
            <w:r>
              <w:rPr>
                <w:sz w:val="24"/>
              </w:rPr>
              <w:t>9</w:t>
            </w:r>
            <w:r>
              <w:rPr>
                <w:rFonts w:hint="eastAsia"/>
                <w:sz w:val="24"/>
              </w:rPr>
              <w:t>0</w:t>
            </w:r>
            <w:r>
              <w:rPr>
                <w:sz w:val="24"/>
              </w:rPr>
              <w:t>%</w:t>
            </w:r>
            <w:r>
              <w:rPr>
                <w:rFonts w:hAnsi="宋体"/>
                <w:sz w:val="24"/>
              </w:rPr>
              <w:t>以上，技术成熟，市场上有成套的设备购买，每套设备费用</w:t>
            </w:r>
            <w:r>
              <w:rPr>
                <w:sz w:val="24"/>
              </w:rPr>
              <w:t>20</w:t>
            </w:r>
            <w:r>
              <w:rPr>
                <w:rFonts w:hAnsi="宋体"/>
                <w:sz w:val="24"/>
              </w:rPr>
              <w:t>万元左右，该设施用于本项目技术经济可行</w:t>
            </w:r>
            <w:r>
              <w:rPr>
                <w:rFonts w:hint="eastAsia"/>
                <w:sz w:val="24"/>
                <w:lang w:eastAsia="zh-CN"/>
              </w:rPr>
              <w:t>。</w:t>
            </w:r>
          </w:p>
          <w:p>
            <w:pPr>
              <w:spacing w:line="360" w:lineRule="auto"/>
              <w:ind w:firstLine="480"/>
              <w:rPr>
                <w:rFonts w:hint="eastAsia"/>
                <w:bCs/>
                <w:sz w:val="24"/>
              </w:rPr>
            </w:pPr>
            <w:r>
              <w:rPr>
                <w:rFonts w:hint="eastAsia"/>
                <w:sz w:val="24"/>
              </w:rPr>
              <w:t>处理后废气经15m排气筒排放，</w:t>
            </w:r>
            <w:r>
              <w:rPr>
                <w:sz w:val="24"/>
              </w:rPr>
              <w:t>由于无法满足高出200m范围建筑物5m以上，</w:t>
            </w:r>
            <w:r>
              <w:rPr>
                <w:rFonts w:hint="eastAsia"/>
                <w:sz w:val="24"/>
              </w:rPr>
              <w:t>氯化氢</w:t>
            </w:r>
            <w:r>
              <w:rPr>
                <w:sz w:val="24"/>
              </w:rPr>
              <w:t>排放速率减半执行</w:t>
            </w:r>
            <w:r>
              <w:rPr>
                <w:rFonts w:hint="eastAsia"/>
                <w:sz w:val="24"/>
              </w:rPr>
              <w:t>，盐酸雾排放符合《大气污染物综合排放标准》（</w:t>
            </w:r>
            <w:r>
              <w:rPr>
                <w:sz w:val="24"/>
              </w:rPr>
              <w:t>GB16297-1996</w:t>
            </w:r>
            <w:r>
              <w:rPr>
                <w:rFonts w:hint="eastAsia"/>
                <w:sz w:val="24"/>
              </w:rPr>
              <w:t>）表</w:t>
            </w:r>
            <w:r>
              <w:rPr>
                <w:sz w:val="24"/>
              </w:rPr>
              <w:t>2</w:t>
            </w:r>
            <w:r>
              <w:rPr>
                <w:rFonts w:hint="eastAsia"/>
                <w:sz w:val="24"/>
              </w:rPr>
              <w:t>中排放标准限值(排放浓度100</w:t>
            </w:r>
            <w:r>
              <w:rPr>
                <w:rFonts w:hint="eastAsia"/>
                <w:bCs/>
                <w:sz w:val="24"/>
              </w:rPr>
              <w:t>mg/m</w:t>
            </w:r>
            <w:r>
              <w:rPr>
                <w:rFonts w:hint="eastAsia"/>
                <w:bCs/>
                <w:sz w:val="24"/>
                <w:vertAlign w:val="superscript"/>
              </w:rPr>
              <w:t>3</w:t>
            </w:r>
            <w:r>
              <w:rPr>
                <w:rFonts w:hint="eastAsia"/>
                <w:sz w:val="24"/>
              </w:rPr>
              <w:t>，排放速率0.26</w:t>
            </w:r>
            <w:r>
              <w:rPr>
                <w:rFonts w:hint="eastAsia"/>
                <w:bCs/>
                <w:sz w:val="24"/>
              </w:rPr>
              <w:t>kg/h，15m排气筒)。</w:t>
            </w:r>
          </w:p>
          <w:p>
            <w:pPr>
              <w:tabs>
                <w:tab w:val="left" w:pos="2093"/>
              </w:tabs>
              <w:spacing w:line="360" w:lineRule="auto"/>
              <w:ind w:left="479" w:leftChars="228"/>
              <w:rPr>
                <w:rFonts w:hint="eastAsia"/>
                <w:sz w:val="24"/>
              </w:rPr>
            </w:pPr>
            <w:r>
              <w:rPr>
                <w:rFonts w:hint="eastAsia"/>
                <w:sz w:val="24"/>
              </w:rPr>
              <w:t>⑵助镀槽氯化铵分解废气</w:t>
            </w:r>
          </w:p>
          <w:p>
            <w:pPr>
              <w:spacing w:line="360" w:lineRule="auto"/>
              <w:ind w:firstLine="480" w:firstLineChars="200"/>
              <w:rPr>
                <w:rFonts w:hint="eastAsia"/>
                <w:bCs/>
                <w:sz w:val="24"/>
              </w:rPr>
            </w:pPr>
            <w:r>
              <w:rPr>
                <w:rFonts w:hint="eastAsia"/>
                <w:bCs/>
                <w:sz w:val="24"/>
              </w:rPr>
              <w:t>ⅰ：变更后热镀锌车间有组织排放</w:t>
            </w:r>
          </w:p>
          <w:p>
            <w:pPr>
              <w:spacing w:line="360" w:lineRule="auto"/>
              <w:ind w:firstLine="480" w:firstLineChars="200"/>
              <w:rPr>
                <w:rFonts w:hint="eastAsia" w:hAnsi="宋体"/>
                <w:sz w:val="24"/>
              </w:rPr>
            </w:pPr>
            <w:r>
              <w:rPr>
                <w:rFonts w:hint="eastAsia"/>
                <w:bCs/>
                <w:sz w:val="24"/>
              </w:rPr>
              <w:t>变更后</w:t>
            </w:r>
            <w:r>
              <w:rPr>
                <w:rFonts w:hint="eastAsia"/>
                <w:sz w:val="24"/>
              </w:rPr>
              <w:t>助镀槽氯化铵分解废气处理措施及排污无变化</w:t>
            </w:r>
            <w:r>
              <w:rPr>
                <w:rFonts w:hint="eastAsia" w:hAnsi="宋体"/>
                <w:sz w:val="24"/>
              </w:rPr>
              <w:t>，</w:t>
            </w:r>
            <w:r>
              <w:rPr>
                <w:rFonts w:hint="eastAsia"/>
                <w:bCs/>
                <w:sz w:val="24"/>
              </w:rPr>
              <w:t>由于酸洗</w:t>
            </w:r>
            <w:r>
              <w:rPr>
                <w:rFonts w:hint="eastAsia"/>
                <w:sz w:val="24"/>
              </w:rPr>
              <w:t>盐酸雾和助镀槽氯化铵分解废气共用一套处理设施和排气筒，因此将同种污染物氯化氢排放合并</w:t>
            </w:r>
            <w:r>
              <w:rPr>
                <w:rFonts w:hint="eastAsia"/>
                <w:sz w:val="24"/>
                <w:lang w:eastAsia="zh-CN"/>
              </w:rPr>
              <w:t>。</w:t>
            </w:r>
            <w:r>
              <w:rPr>
                <w:rFonts w:hint="eastAsia"/>
                <w:sz w:val="24"/>
              </w:rPr>
              <w:t>处理后废气经15m排气筒排放，</w:t>
            </w:r>
            <w:r>
              <w:rPr>
                <w:sz w:val="24"/>
              </w:rPr>
              <w:t>由于无法满足高出200m范围建筑物5m以上，</w:t>
            </w:r>
            <w:r>
              <w:rPr>
                <w:rFonts w:hint="eastAsia"/>
                <w:sz w:val="24"/>
              </w:rPr>
              <w:t>氯化氢</w:t>
            </w:r>
            <w:r>
              <w:rPr>
                <w:sz w:val="24"/>
              </w:rPr>
              <w:t>排放速率减半执行；</w:t>
            </w:r>
            <w:r>
              <w:rPr>
                <w:rFonts w:hint="eastAsia"/>
                <w:sz w:val="24"/>
              </w:rPr>
              <w:t>氯化氢排放符合《大气污染物综合排放标准》（</w:t>
            </w:r>
            <w:r>
              <w:rPr>
                <w:sz w:val="24"/>
              </w:rPr>
              <w:t>GB16297-1996</w:t>
            </w:r>
            <w:r>
              <w:rPr>
                <w:rFonts w:hint="eastAsia"/>
                <w:sz w:val="24"/>
              </w:rPr>
              <w:t>）表</w:t>
            </w:r>
            <w:r>
              <w:rPr>
                <w:sz w:val="24"/>
              </w:rPr>
              <w:t>2</w:t>
            </w:r>
            <w:r>
              <w:rPr>
                <w:rFonts w:hint="eastAsia"/>
                <w:sz w:val="24"/>
              </w:rPr>
              <w:t>中排放标准限值(排放浓度100</w:t>
            </w:r>
            <w:r>
              <w:rPr>
                <w:rFonts w:hint="eastAsia"/>
                <w:bCs/>
                <w:sz w:val="24"/>
              </w:rPr>
              <w:t>mg/m</w:t>
            </w:r>
            <w:r>
              <w:rPr>
                <w:rFonts w:hint="eastAsia"/>
                <w:bCs/>
                <w:sz w:val="24"/>
                <w:vertAlign w:val="superscript"/>
              </w:rPr>
              <w:t>3</w:t>
            </w:r>
            <w:r>
              <w:rPr>
                <w:rFonts w:hint="eastAsia"/>
                <w:sz w:val="24"/>
              </w:rPr>
              <w:t>，排放速率0.13</w:t>
            </w:r>
            <w:r>
              <w:rPr>
                <w:rFonts w:hint="eastAsia"/>
                <w:bCs/>
                <w:sz w:val="24"/>
              </w:rPr>
              <w:t>kg/h，15m排气筒)</w:t>
            </w:r>
            <w:r>
              <w:rPr>
                <w:rFonts w:hint="eastAsia" w:hAnsi="宋体"/>
                <w:sz w:val="24"/>
              </w:rPr>
              <w:t>。</w:t>
            </w:r>
          </w:p>
          <w:p>
            <w:pPr>
              <w:spacing w:line="360" w:lineRule="auto"/>
              <w:ind w:firstLine="480"/>
              <w:rPr>
                <w:rFonts w:hint="eastAsia" w:hAnsi="宋体"/>
                <w:sz w:val="24"/>
              </w:rPr>
            </w:pPr>
            <w:r>
              <w:rPr>
                <w:rFonts w:hint="eastAsia" w:hAnsi="宋体"/>
                <w:sz w:val="24"/>
              </w:rPr>
              <w:t>ⅱ：</w:t>
            </w:r>
            <w:r>
              <w:rPr>
                <w:rFonts w:hint="eastAsia"/>
                <w:bCs/>
                <w:sz w:val="24"/>
              </w:rPr>
              <w:t>变更后热镀锌车间无组织排放</w:t>
            </w:r>
          </w:p>
          <w:p>
            <w:pPr>
              <w:spacing w:line="360" w:lineRule="auto"/>
              <w:ind w:firstLine="480" w:firstLineChars="200"/>
              <w:rPr>
                <w:rFonts w:hint="eastAsia"/>
                <w:sz w:val="24"/>
              </w:rPr>
            </w:pPr>
            <w:r>
              <w:rPr>
                <w:rFonts w:hint="eastAsia"/>
                <w:sz w:val="24"/>
              </w:rPr>
              <w:t>由于项目酸洗过程会产生盐酸雾、助镀过程中氯化铵的分解会产生氨气和氯化氢，为减轻无组织废气排放对周边居民的影响，考虑到车间面积较大，不便于负压收集，环评建议对产生以上污染物的酸洗槽、助镀槽区域进行相对密闭，封闭区域上部</w:t>
            </w:r>
          </w:p>
          <w:p>
            <w:pPr>
              <w:spacing w:line="360" w:lineRule="auto"/>
              <w:rPr>
                <w:rFonts w:hint="eastAsia"/>
                <w:sz w:val="24"/>
              </w:rPr>
            </w:pPr>
            <w:r>
              <w:rPr>
                <w:rFonts w:hint="eastAsia"/>
                <w:sz w:val="24"/>
              </w:rPr>
              <w:t>设活动顶板，便于行车对构件的吊进吊出，酸洗和助镀时将活动板盖上，维持该封闭区域微负压，酸洗和助镀结束后，沥干后将构件快速吊出，经以上收集处理，可减少80%无组织废气通过车间的散溢。</w:t>
            </w:r>
          </w:p>
          <w:p>
            <w:pPr>
              <w:spacing w:line="360" w:lineRule="auto"/>
              <w:ind w:firstLine="480"/>
              <w:rPr>
                <w:rFonts w:hint="eastAsia" w:hAnsi="宋体"/>
                <w:sz w:val="24"/>
              </w:rPr>
            </w:pPr>
            <w:r>
              <w:rPr>
                <w:rFonts w:hint="eastAsia" w:hAnsi="宋体"/>
                <w:sz w:val="24"/>
              </w:rPr>
              <w:t>设置相对密闭区域，采取负压收集是减少无组织废气排放对环境影响的常用措施，在工业企业表面涂装、酸洗工序应用广泛，且技术成熟，投资约20万，措施技术经济可行。</w:t>
            </w:r>
          </w:p>
          <w:p>
            <w:pPr>
              <w:spacing w:line="360" w:lineRule="auto"/>
              <w:ind w:firstLine="480" w:firstLineChars="200"/>
              <w:rPr>
                <w:rFonts w:hint="eastAsia" w:hAnsi="宋体"/>
                <w:sz w:val="24"/>
              </w:rPr>
            </w:pPr>
            <w:r>
              <w:rPr>
                <w:rFonts w:hint="eastAsia" w:hAnsi="宋体"/>
                <w:sz w:val="24"/>
              </w:rPr>
              <w:t>⑶</w:t>
            </w:r>
            <w:r>
              <w:rPr>
                <w:rFonts w:hAnsi="宋体"/>
                <w:sz w:val="24"/>
              </w:rPr>
              <w:t>热镀锌锅热解</w:t>
            </w:r>
            <w:r>
              <w:rPr>
                <w:rFonts w:hint="eastAsia" w:hAnsi="宋体"/>
                <w:sz w:val="24"/>
              </w:rPr>
              <w:t>烟</w:t>
            </w:r>
            <w:r>
              <w:rPr>
                <w:rFonts w:hAnsi="宋体"/>
                <w:sz w:val="24"/>
              </w:rPr>
              <w:t>气</w:t>
            </w:r>
          </w:p>
          <w:p>
            <w:pPr>
              <w:spacing w:line="360" w:lineRule="auto"/>
              <w:ind w:firstLine="480" w:firstLineChars="200"/>
              <w:rPr>
                <w:sz w:val="24"/>
              </w:rPr>
            </w:pPr>
            <w:r>
              <w:rPr>
                <w:rFonts w:hint="eastAsia" w:hAnsi="宋体"/>
                <w:sz w:val="24"/>
              </w:rPr>
              <w:t>变更后</w:t>
            </w:r>
            <w:r>
              <w:rPr>
                <w:rFonts w:hAnsi="宋体"/>
                <w:sz w:val="24"/>
              </w:rPr>
              <w:t>热镀锌锅热解</w:t>
            </w:r>
            <w:r>
              <w:rPr>
                <w:rFonts w:hint="eastAsia" w:hAnsi="宋体"/>
                <w:sz w:val="24"/>
              </w:rPr>
              <w:t>烟</w:t>
            </w:r>
            <w:r>
              <w:rPr>
                <w:rFonts w:hAnsi="宋体"/>
                <w:sz w:val="24"/>
              </w:rPr>
              <w:t>气</w:t>
            </w:r>
            <w:r>
              <w:rPr>
                <w:rFonts w:hint="eastAsia"/>
                <w:sz w:val="24"/>
              </w:rPr>
              <w:t>处理措施及排污无变化</w:t>
            </w:r>
            <w:r>
              <w:rPr>
                <w:rFonts w:hAnsi="宋体"/>
                <w:sz w:val="24"/>
              </w:rPr>
              <w:t>。</w:t>
            </w:r>
          </w:p>
          <w:p>
            <w:pPr>
              <w:spacing w:line="360" w:lineRule="auto"/>
              <w:ind w:firstLine="480" w:firstLineChars="200"/>
              <w:rPr>
                <w:rFonts w:hint="eastAsia"/>
                <w:sz w:val="24"/>
              </w:rPr>
            </w:pPr>
            <w:r>
              <w:rPr>
                <w:rFonts w:hint="eastAsia"/>
                <w:sz w:val="24"/>
              </w:rPr>
              <w:t>⑷锌锅加热炉烟气</w:t>
            </w:r>
          </w:p>
          <w:p>
            <w:pPr>
              <w:spacing w:line="360" w:lineRule="auto"/>
              <w:ind w:firstLine="480" w:firstLineChars="200"/>
              <w:rPr>
                <w:sz w:val="24"/>
              </w:rPr>
            </w:pPr>
            <w:r>
              <w:rPr>
                <w:rFonts w:hint="eastAsia" w:hAnsi="宋体"/>
                <w:sz w:val="24"/>
              </w:rPr>
              <w:t>变更后</w:t>
            </w:r>
            <w:r>
              <w:rPr>
                <w:rFonts w:hint="eastAsia"/>
                <w:sz w:val="24"/>
              </w:rPr>
              <w:t>锌锅加热炉烟气处理措施及排污无变化</w:t>
            </w:r>
            <w:r>
              <w:rPr>
                <w:rFonts w:hAnsi="宋体"/>
                <w:sz w:val="24"/>
              </w:rPr>
              <w:t>。</w:t>
            </w:r>
          </w:p>
          <w:p>
            <w:pPr>
              <w:spacing w:line="360" w:lineRule="auto"/>
              <w:ind w:firstLine="480" w:firstLineChars="200"/>
              <w:rPr>
                <w:rFonts w:hint="eastAsia"/>
                <w:sz w:val="24"/>
              </w:rPr>
            </w:pPr>
            <w:r>
              <w:rPr>
                <w:rFonts w:hint="eastAsia" w:ascii="宋体" w:hAnsi="宋体"/>
                <w:sz w:val="24"/>
              </w:rPr>
              <w:t>⑸</w:t>
            </w:r>
            <w:r>
              <w:rPr>
                <w:rFonts w:hint="eastAsia"/>
                <w:sz w:val="24"/>
              </w:rPr>
              <w:t>焊接废气</w:t>
            </w:r>
          </w:p>
          <w:p>
            <w:pPr>
              <w:spacing w:line="360" w:lineRule="auto"/>
              <w:ind w:firstLine="480" w:firstLineChars="200"/>
              <w:rPr>
                <w:sz w:val="24"/>
              </w:rPr>
            </w:pPr>
            <w:r>
              <w:rPr>
                <w:rFonts w:hint="eastAsia" w:hAnsi="宋体"/>
                <w:sz w:val="24"/>
              </w:rPr>
              <w:t>变更后</w:t>
            </w:r>
            <w:r>
              <w:rPr>
                <w:rFonts w:hint="eastAsia"/>
                <w:sz w:val="24"/>
              </w:rPr>
              <w:t>焊接废气处理措施及排污无变化</w:t>
            </w:r>
            <w:r>
              <w:rPr>
                <w:rFonts w:hAnsi="宋体"/>
                <w:sz w:val="24"/>
              </w:rPr>
              <w:t>。</w:t>
            </w:r>
          </w:p>
          <w:p>
            <w:pPr>
              <w:spacing w:line="360" w:lineRule="auto"/>
              <w:ind w:firstLine="480" w:firstLineChars="200"/>
              <w:rPr>
                <w:rFonts w:hint="eastAsia" w:hAnsi="宋体"/>
                <w:sz w:val="24"/>
              </w:rPr>
            </w:pPr>
            <w:r>
              <w:rPr>
                <w:rFonts w:hint="eastAsia" w:hAnsi="宋体"/>
                <w:sz w:val="24"/>
              </w:rPr>
              <w:t>⑹</w:t>
            </w:r>
            <w:r>
              <w:rPr>
                <w:rFonts w:hAnsi="宋体"/>
                <w:sz w:val="24"/>
              </w:rPr>
              <w:t>喷塑粉尘</w:t>
            </w:r>
          </w:p>
          <w:p>
            <w:pPr>
              <w:spacing w:line="360" w:lineRule="auto"/>
              <w:ind w:firstLine="480" w:firstLineChars="200"/>
              <w:rPr>
                <w:rFonts w:hint="eastAsia"/>
                <w:sz w:val="24"/>
              </w:rPr>
            </w:pPr>
            <w:r>
              <w:rPr>
                <w:rFonts w:hint="eastAsia" w:hAnsi="宋体"/>
                <w:sz w:val="24"/>
              </w:rPr>
              <w:t>变更后</w:t>
            </w:r>
            <w:r>
              <w:rPr>
                <w:rFonts w:hAnsi="宋体"/>
                <w:sz w:val="24"/>
              </w:rPr>
              <w:t>喷塑粉尘</w:t>
            </w:r>
            <w:r>
              <w:rPr>
                <w:rFonts w:hint="eastAsia"/>
                <w:sz w:val="24"/>
              </w:rPr>
              <w:t>处理措施及排污无变化</w:t>
            </w:r>
            <w:r>
              <w:rPr>
                <w:rFonts w:hAnsi="宋体"/>
                <w:sz w:val="24"/>
              </w:rPr>
              <w:t>。</w:t>
            </w:r>
            <w:r>
              <w:rPr>
                <w:rFonts w:hint="eastAsia" w:hAnsi="宋体"/>
                <w:sz w:val="24"/>
              </w:rPr>
              <w:t xml:space="preserve"> </w:t>
            </w:r>
          </w:p>
          <w:p>
            <w:pPr>
              <w:spacing w:line="360" w:lineRule="auto"/>
              <w:ind w:firstLine="480" w:firstLineChars="200"/>
              <w:rPr>
                <w:rFonts w:hint="eastAsia"/>
                <w:sz w:val="24"/>
              </w:rPr>
            </w:pPr>
            <w:r>
              <w:rPr>
                <w:rFonts w:hint="eastAsia" w:hAnsi="宋体"/>
                <w:sz w:val="24"/>
              </w:rPr>
              <w:t>⑺</w:t>
            </w:r>
            <w:r>
              <w:rPr>
                <w:rFonts w:hint="eastAsia"/>
                <w:sz w:val="24"/>
              </w:rPr>
              <w:t>热风炉废气</w:t>
            </w:r>
          </w:p>
          <w:p>
            <w:pPr>
              <w:spacing w:line="360" w:lineRule="auto"/>
              <w:ind w:firstLine="480" w:firstLineChars="200"/>
              <w:rPr>
                <w:sz w:val="24"/>
              </w:rPr>
            </w:pPr>
            <w:r>
              <w:rPr>
                <w:rFonts w:hint="eastAsia" w:hAnsi="宋体"/>
                <w:sz w:val="24"/>
              </w:rPr>
              <w:t>变更后</w:t>
            </w:r>
            <w:r>
              <w:rPr>
                <w:rFonts w:hint="eastAsia"/>
                <w:sz w:val="24"/>
              </w:rPr>
              <w:t>热风炉废气处理措施及排污无变化</w:t>
            </w:r>
            <w:r>
              <w:rPr>
                <w:rFonts w:hAnsi="宋体"/>
                <w:sz w:val="24"/>
              </w:rPr>
              <w:t>。</w:t>
            </w:r>
          </w:p>
          <w:p>
            <w:pPr>
              <w:spacing w:line="360" w:lineRule="auto"/>
              <w:ind w:firstLine="480" w:firstLineChars="200"/>
              <w:rPr>
                <w:rFonts w:hint="eastAsia" w:ascii="宋体" w:hAnsi="宋体"/>
                <w:sz w:val="24"/>
              </w:rPr>
            </w:pPr>
            <w:r>
              <w:rPr>
                <w:rFonts w:hint="eastAsia" w:hAnsi="宋体"/>
                <w:sz w:val="24"/>
              </w:rPr>
              <w:t>⑻</w:t>
            </w:r>
            <w:r>
              <w:rPr>
                <w:rFonts w:hint="eastAsia" w:ascii="宋体" w:hAnsi="宋体"/>
                <w:sz w:val="24"/>
              </w:rPr>
              <w:t>食堂油烟</w:t>
            </w:r>
          </w:p>
          <w:p>
            <w:pPr>
              <w:spacing w:line="360" w:lineRule="auto"/>
              <w:ind w:firstLine="480" w:firstLineChars="200"/>
              <w:rPr>
                <w:rFonts w:hAnsi="宋体"/>
                <w:sz w:val="24"/>
              </w:rPr>
            </w:pPr>
            <w:r>
              <w:rPr>
                <w:rFonts w:hint="eastAsia" w:hAnsi="宋体"/>
                <w:sz w:val="24"/>
              </w:rPr>
              <w:t>变更后</w:t>
            </w:r>
            <w:r>
              <w:rPr>
                <w:rFonts w:hint="eastAsia" w:ascii="宋体" w:hAnsi="宋体"/>
                <w:sz w:val="24"/>
              </w:rPr>
              <w:t>食堂油烟</w:t>
            </w:r>
            <w:r>
              <w:rPr>
                <w:rFonts w:hint="eastAsia"/>
                <w:sz w:val="24"/>
              </w:rPr>
              <w:t>处理措施及排污无变化</w:t>
            </w:r>
            <w:r>
              <w:rPr>
                <w:rFonts w:hAnsi="宋体"/>
                <w:sz w:val="24"/>
              </w:rPr>
              <w:t>。</w:t>
            </w:r>
          </w:p>
          <w:p>
            <w:pPr>
              <w:spacing w:line="360" w:lineRule="auto"/>
              <w:ind w:firstLine="480" w:firstLineChars="200"/>
              <w:jc w:val="left"/>
              <w:rPr>
                <w:rFonts w:hint="eastAsia" w:hAnsi="宋体"/>
                <w:b/>
                <w:bCs/>
                <w:color w:val="000000"/>
                <w:sz w:val="24"/>
              </w:rPr>
            </w:pPr>
            <w:r>
              <w:rPr>
                <w:rFonts w:hAnsi="宋体"/>
                <w:b/>
                <w:bCs/>
                <w:color w:val="000000"/>
                <w:sz w:val="24"/>
              </w:rPr>
              <w:t>噪声</w:t>
            </w:r>
          </w:p>
          <w:p>
            <w:pPr>
              <w:spacing w:line="360" w:lineRule="auto"/>
              <w:ind w:firstLine="480" w:firstLineChars="200"/>
              <w:rPr>
                <w:rFonts w:hint="eastAsia"/>
                <w:sz w:val="24"/>
              </w:rPr>
            </w:pPr>
            <w:r>
              <w:rPr>
                <w:rFonts w:hint="eastAsia"/>
                <w:sz w:val="24"/>
              </w:rPr>
              <w:t>变更后噪声治理措施及排放无变化</w:t>
            </w:r>
            <w:r>
              <w:rPr>
                <w:rFonts w:hAnsi="宋体"/>
                <w:sz w:val="24"/>
              </w:rPr>
              <w:t>。</w:t>
            </w:r>
          </w:p>
          <w:p>
            <w:pPr>
              <w:spacing w:line="360" w:lineRule="auto"/>
              <w:ind w:firstLine="480" w:firstLineChars="200"/>
              <w:rPr>
                <w:rFonts w:hint="eastAsia" w:hAnsi="宋体"/>
                <w:b/>
                <w:color w:val="000000"/>
                <w:sz w:val="24"/>
              </w:rPr>
            </w:pPr>
            <w:r>
              <w:rPr>
                <w:rFonts w:hAnsi="宋体"/>
                <w:b/>
                <w:color w:val="000000"/>
                <w:sz w:val="24"/>
              </w:rPr>
              <w:t>固体废物</w:t>
            </w:r>
          </w:p>
          <w:p>
            <w:pPr>
              <w:pStyle w:val="12"/>
              <w:rPr>
                <w:rFonts w:hint="eastAsia"/>
                <w:u w:val="single"/>
              </w:rPr>
            </w:pPr>
            <w:r>
              <w:rPr>
                <w:rFonts w:hint="eastAsia"/>
              </w:rPr>
              <w:t>变更后</w:t>
            </w:r>
            <w:r>
              <w:t>项目营运期固废主要有：</w:t>
            </w:r>
            <w:r>
              <w:rPr>
                <w:rFonts w:hint="eastAsia"/>
              </w:rPr>
              <w:t>酸洗、助镀、钝化槽槽渣，清洗废水和酸洗废液处理后的污泥、</w:t>
            </w:r>
            <w:r>
              <w:t>热镀锌锅</w:t>
            </w:r>
            <w:r>
              <w:rPr>
                <w:rFonts w:hint="eastAsia"/>
              </w:rPr>
              <w:t>锌渣、布袋除尘器锌灰、废包装物及员工的生活垃圾</w:t>
            </w:r>
            <w:r>
              <w:t>，处置措施见表</w:t>
            </w:r>
            <w:r>
              <w:rPr>
                <w:rFonts w:hint="eastAsia"/>
              </w:rPr>
              <w:t>9-5</w:t>
            </w:r>
            <w:r>
              <w:t>。</w:t>
            </w:r>
          </w:p>
          <w:p>
            <w:pPr>
              <w:adjustRightInd w:val="0"/>
              <w:snapToGrid w:val="0"/>
              <w:spacing w:line="360" w:lineRule="auto"/>
              <w:jc w:val="center"/>
              <w:rPr>
                <w:rFonts w:hint="eastAsia" w:hAnsi="宋体"/>
                <w:b/>
                <w:bCs/>
                <w:szCs w:val="21"/>
              </w:rPr>
            </w:pPr>
            <w:r>
              <w:rPr>
                <w:rFonts w:hAnsi="宋体"/>
                <w:b/>
                <w:bCs/>
                <w:szCs w:val="21"/>
              </w:rPr>
              <w:t>表</w:t>
            </w:r>
            <w:r>
              <w:rPr>
                <w:rFonts w:hint="eastAsia" w:hAnsi="宋体"/>
                <w:b/>
                <w:bCs/>
                <w:szCs w:val="21"/>
              </w:rPr>
              <w:t xml:space="preserve">9-5 </w:t>
            </w:r>
            <w:r>
              <w:rPr>
                <w:rFonts w:hAnsi="宋体"/>
                <w:b/>
                <w:bCs/>
                <w:szCs w:val="21"/>
              </w:rPr>
              <w:t>固体废物处理处置措施一览表</w:t>
            </w:r>
          </w:p>
          <w:tbl>
            <w:tblPr>
              <w:tblStyle w:val="6"/>
              <w:tblW w:w="850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8"/>
              <w:gridCol w:w="1719"/>
              <w:gridCol w:w="1155"/>
              <w:gridCol w:w="1530"/>
              <w:gridCol w:w="34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ascii="Times New Roman" w:hAnsi="Times New Roman"/>
                    </w:rPr>
                  </w:pPr>
                  <w:r>
                    <w:rPr>
                      <w:rFonts w:ascii="Times New Roman"/>
                    </w:rPr>
                    <w:t>序号</w:t>
                  </w:r>
                </w:p>
              </w:tc>
              <w:tc>
                <w:tcPr>
                  <w:tcW w:w="1719" w:type="dxa"/>
                  <w:noWrap w:val="0"/>
                  <w:vAlign w:val="center"/>
                </w:tcPr>
                <w:p>
                  <w:pPr>
                    <w:pStyle w:val="13"/>
                    <w:ind w:firstLine="210" w:firstLineChars="100"/>
                    <w:jc w:val="both"/>
                    <w:rPr>
                      <w:rFonts w:ascii="Times New Roman" w:hAnsi="Times New Roman"/>
                    </w:rPr>
                  </w:pPr>
                  <w:r>
                    <w:rPr>
                      <w:rFonts w:ascii="Times New Roman"/>
                    </w:rPr>
                    <w:t>固体废物名称</w:t>
                  </w:r>
                </w:p>
              </w:tc>
              <w:tc>
                <w:tcPr>
                  <w:tcW w:w="1155" w:type="dxa"/>
                  <w:noWrap w:val="0"/>
                  <w:vAlign w:val="center"/>
                </w:tcPr>
                <w:p>
                  <w:pPr>
                    <w:pStyle w:val="13"/>
                    <w:ind w:firstLine="210" w:firstLineChars="100"/>
                    <w:jc w:val="both"/>
                    <w:rPr>
                      <w:rFonts w:ascii="Times New Roman" w:hAnsi="Times New Roman"/>
                    </w:rPr>
                  </w:pPr>
                  <w:r>
                    <w:rPr>
                      <w:rFonts w:ascii="Times New Roman"/>
                    </w:rPr>
                    <w:t>产生量</w:t>
                  </w:r>
                </w:p>
              </w:tc>
              <w:tc>
                <w:tcPr>
                  <w:tcW w:w="1530" w:type="dxa"/>
                  <w:tcBorders>
                    <w:right w:val="single" w:color="auto" w:sz="4" w:space="0"/>
                  </w:tcBorders>
                  <w:noWrap w:val="0"/>
                  <w:vAlign w:val="center"/>
                </w:tcPr>
                <w:p>
                  <w:pPr>
                    <w:pStyle w:val="13"/>
                    <w:rPr>
                      <w:rFonts w:ascii="Times New Roman" w:hAnsi="Times New Roman"/>
                    </w:rPr>
                  </w:pPr>
                  <w:r>
                    <w:rPr>
                      <w:rFonts w:ascii="Times New Roman"/>
                    </w:rPr>
                    <w:t>固体属性</w:t>
                  </w:r>
                </w:p>
              </w:tc>
              <w:tc>
                <w:tcPr>
                  <w:tcW w:w="3423" w:type="dxa"/>
                  <w:tcBorders>
                    <w:left w:val="single" w:color="auto" w:sz="4" w:space="0"/>
                  </w:tcBorders>
                  <w:noWrap w:val="0"/>
                  <w:vAlign w:val="center"/>
                </w:tcPr>
                <w:p>
                  <w:pPr>
                    <w:pStyle w:val="13"/>
                    <w:rPr>
                      <w:rFonts w:ascii="Times New Roman" w:hAnsi="Times New Roman"/>
                    </w:rPr>
                  </w:pPr>
                  <w:r>
                    <w:rPr>
                      <w:rFonts w:ascii="Times New Roman"/>
                    </w:rPr>
                    <w:t>处理处置措施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hint="eastAsia" w:ascii="Times New Roman"/>
                    </w:rPr>
                  </w:pPr>
                  <w:r>
                    <w:rPr>
                      <w:rFonts w:hint="eastAsia" w:ascii="Times New Roman"/>
                    </w:rPr>
                    <w:t>1</w:t>
                  </w:r>
                </w:p>
              </w:tc>
              <w:tc>
                <w:tcPr>
                  <w:tcW w:w="1719" w:type="dxa"/>
                  <w:noWrap w:val="0"/>
                  <w:vAlign w:val="center"/>
                </w:tcPr>
                <w:p>
                  <w:pPr>
                    <w:pStyle w:val="13"/>
                    <w:jc w:val="both"/>
                    <w:rPr>
                      <w:rFonts w:ascii="Times New Roman"/>
                    </w:rPr>
                  </w:pPr>
                  <w:r>
                    <w:rPr>
                      <w:rFonts w:hint="eastAsia"/>
                    </w:rPr>
                    <w:t>酸洗、助镀、钝化槽槽渣</w:t>
                  </w:r>
                </w:p>
              </w:tc>
              <w:tc>
                <w:tcPr>
                  <w:tcW w:w="1155" w:type="dxa"/>
                  <w:noWrap w:val="0"/>
                  <w:vAlign w:val="center"/>
                </w:tcPr>
                <w:p>
                  <w:pPr>
                    <w:pStyle w:val="13"/>
                    <w:ind w:firstLine="315" w:firstLineChars="150"/>
                    <w:jc w:val="both"/>
                    <w:rPr>
                      <w:rFonts w:ascii="Times New Roman" w:hAnsi="Times New Roman"/>
                    </w:rPr>
                  </w:pPr>
                  <w:r>
                    <w:rPr>
                      <w:rFonts w:hint="eastAsia" w:ascii="Times New Roman" w:hAnsi="Times New Roman"/>
                    </w:rPr>
                    <w:t>12</w:t>
                  </w:r>
                  <w:r>
                    <w:rPr>
                      <w:rFonts w:ascii="Times New Roman" w:hAnsi="Times New Roman"/>
                    </w:rPr>
                    <w:t>t/a</w:t>
                  </w:r>
                </w:p>
              </w:tc>
              <w:tc>
                <w:tcPr>
                  <w:tcW w:w="1530" w:type="dxa"/>
                  <w:tcBorders>
                    <w:right w:val="single" w:color="auto" w:sz="4" w:space="0"/>
                  </w:tcBorders>
                  <w:noWrap w:val="0"/>
                  <w:vAlign w:val="center"/>
                </w:tcPr>
                <w:p>
                  <w:pPr>
                    <w:pStyle w:val="13"/>
                    <w:rPr>
                      <w:rFonts w:ascii="Times New Roman" w:hAnsi="Times New Roman"/>
                    </w:rPr>
                  </w:pPr>
                  <w:r>
                    <w:rPr>
                      <w:rFonts w:ascii="Times New Roman"/>
                    </w:rPr>
                    <w:t>危废编号</w:t>
                  </w:r>
                  <w:r>
                    <w:rPr>
                      <w:rFonts w:ascii="Times New Roman" w:hAnsi="Times New Roman"/>
                    </w:rPr>
                    <w:t>HW17 336-052-17</w:t>
                  </w:r>
                </w:p>
              </w:tc>
              <w:tc>
                <w:tcPr>
                  <w:tcW w:w="3423" w:type="dxa"/>
                  <w:tcBorders>
                    <w:left w:val="single" w:color="auto" w:sz="4" w:space="0"/>
                    <w:bottom w:val="single" w:color="auto" w:sz="4" w:space="0"/>
                  </w:tcBorders>
                  <w:noWrap w:val="0"/>
                  <w:vAlign w:val="center"/>
                </w:tcPr>
                <w:p>
                  <w:pPr>
                    <w:pStyle w:val="13"/>
                    <w:jc w:val="both"/>
                    <w:rPr>
                      <w:rFonts w:ascii="Times New Roman"/>
                    </w:rPr>
                  </w:pPr>
                  <w:r>
                    <w:rPr>
                      <w:rFonts w:hint="eastAsia" w:ascii="Times New Roman"/>
                    </w:rPr>
                    <w:t>交有资质危险废物处置单位处置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hint="eastAsia" w:ascii="Times New Roman"/>
                    </w:rPr>
                  </w:pPr>
                  <w:r>
                    <w:rPr>
                      <w:rFonts w:hint="eastAsia" w:ascii="Times New Roman"/>
                    </w:rPr>
                    <w:t>2</w:t>
                  </w:r>
                </w:p>
              </w:tc>
              <w:tc>
                <w:tcPr>
                  <w:tcW w:w="1719" w:type="dxa"/>
                  <w:noWrap w:val="0"/>
                  <w:vAlign w:val="center"/>
                </w:tcPr>
                <w:p>
                  <w:pPr>
                    <w:pStyle w:val="13"/>
                    <w:jc w:val="both"/>
                    <w:rPr>
                      <w:rFonts w:hint="eastAsia"/>
                    </w:rPr>
                  </w:pPr>
                  <w:r>
                    <w:rPr>
                      <w:rFonts w:hint="eastAsia"/>
                    </w:rPr>
                    <w:t>钝化槽除杂产生的污泥</w:t>
                  </w:r>
                </w:p>
              </w:tc>
              <w:tc>
                <w:tcPr>
                  <w:tcW w:w="1155" w:type="dxa"/>
                  <w:noWrap w:val="0"/>
                  <w:vAlign w:val="center"/>
                </w:tcPr>
                <w:p>
                  <w:pPr>
                    <w:pStyle w:val="13"/>
                    <w:ind w:firstLine="315" w:firstLineChars="150"/>
                    <w:jc w:val="both"/>
                    <w:rPr>
                      <w:rFonts w:hint="eastAsia" w:ascii="Times New Roman" w:hAnsi="Times New Roman"/>
                    </w:rPr>
                  </w:pPr>
                  <w:r>
                    <w:rPr>
                      <w:rFonts w:hint="eastAsia" w:ascii="Times New Roman" w:hAnsi="Times New Roman"/>
                    </w:rPr>
                    <w:t>2t/a</w:t>
                  </w:r>
                </w:p>
              </w:tc>
              <w:tc>
                <w:tcPr>
                  <w:tcW w:w="1530" w:type="dxa"/>
                  <w:tcBorders>
                    <w:right w:val="single" w:color="auto" w:sz="4" w:space="0"/>
                  </w:tcBorders>
                  <w:noWrap w:val="0"/>
                  <w:vAlign w:val="center"/>
                </w:tcPr>
                <w:p>
                  <w:pPr>
                    <w:pStyle w:val="13"/>
                    <w:jc w:val="both"/>
                    <w:rPr>
                      <w:rFonts w:ascii="Times New Roman"/>
                    </w:rPr>
                  </w:pPr>
                  <w:r>
                    <w:rPr>
                      <w:rFonts w:hint="eastAsia" w:ascii="Times New Roman" w:hAnsi="Times New Roman"/>
                    </w:rPr>
                    <w:t>危险废物HW17 336-052-17</w:t>
                  </w:r>
                </w:p>
              </w:tc>
              <w:tc>
                <w:tcPr>
                  <w:tcW w:w="3423" w:type="dxa"/>
                  <w:tcBorders>
                    <w:left w:val="single" w:color="auto" w:sz="4" w:space="0"/>
                    <w:bottom w:val="single" w:color="auto" w:sz="4" w:space="0"/>
                  </w:tcBorders>
                  <w:noWrap w:val="0"/>
                  <w:vAlign w:val="center"/>
                </w:tcPr>
                <w:p>
                  <w:pPr>
                    <w:pStyle w:val="13"/>
                    <w:jc w:val="both"/>
                    <w:rPr>
                      <w:rFonts w:hint="eastAsia" w:ascii="Times New Roman"/>
                    </w:rPr>
                  </w:pPr>
                  <w:r>
                    <w:rPr>
                      <w:rFonts w:hint="eastAsia" w:ascii="Times New Roman"/>
                    </w:rPr>
                    <w:t>交有资质危险废物处置单位处置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hint="eastAsia" w:ascii="Times New Roman"/>
                    </w:rPr>
                  </w:pPr>
                  <w:r>
                    <w:rPr>
                      <w:rFonts w:hint="eastAsia" w:ascii="Times New Roman"/>
                    </w:rPr>
                    <w:t>3</w:t>
                  </w:r>
                </w:p>
              </w:tc>
              <w:tc>
                <w:tcPr>
                  <w:tcW w:w="1719" w:type="dxa"/>
                  <w:noWrap w:val="0"/>
                  <w:vAlign w:val="center"/>
                </w:tcPr>
                <w:p>
                  <w:pPr>
                    <w:pStyle w:val="13"/>
                    <w:jc w:val="both"/>
                    <w:rPr>
                      <w:rFonts w:hint="eastAsia"/>
                    </w:rPr>
                  </w:pPr>
                  <w:r>
                    <w:rPr>
                      <w:rFonts w:hint="eastAsia"/>
                    </w:rPr>
                    <w:t>清洗废水、酸洗废液处理后的污泥</w:t>
                  </w:r>
                </w:p>
              </w:tc>
              <w:tc>
                <w:tcPr>
                  <w:tcW w:w="1155" w:type="dxa"/>
                  <w:noWrap w:val="0"/>
                  <w:vAlign w:val="center"/>
                </w:tcPr>
                <w:p>
                  <w:pPr>
                    <w:pStyle w:val="13"/>
                    <w:ind w:firstLine="315" w:firstLineChars="150"/>
                    <w:jc w:val="both"/>
                    <w:rPr>
                      <w:rFonts w:hint="eastAsia" w:ascii="Times New Roman" w:hAnsi="Times New Roman"/>
                    </w:rPr>
                  </w:pPr>
                  <w:r>
                    <w:rPr>
                      <w:rFonts w:hint="eastAsia" w:ascii="Times New Roman" w:hAnsi="Times New Roman"/>
                    </w:rPr>
                    <w:t>15t/a</w:t>
                  </w:r>
                </w:p>
              </w:tc>
              <w:tc>
                <w:tcPr>
                  <w:tcW w:w="1530" w:type="dxa"/>
                  <w:tcBorders>
                    <w:right w:val="single" w:color="auto" w:sz="4" w:space="0"/>
                  </w:tcBorders>
                  <w:noWrap w:val="0"/>
                  <w:vAlign w:val="center"/>
                </w:tcPr>
                <w:p>
                  <w:pPr>
                    <w:pStyle w:val="13"/>
                    <w:jc w:val="both"/>
                    <w:rPr>
                      <w:rFonts w:hint="eastAsia" w:ascii="Times New Roman" w:hAnsi="Times New Roman"/>
                    </w:rPr>
                  </w:pPr>
                  <w:r>
                    <w:rPr>
                      <w:rFonts w:hint="eastAsia" w:ascii="Times New Roman" w:hAnsi="Times New Roman"/>
                    </w:rPr>
                    <w:t>危险废物</w:t>
                  </w:r>
                  <w:r>
                    <w:rPr>
                      <w:rFonts w:ascii="Times New Roman" w:hAnsi="Times New Roman"/>
                    </w:rPr>
                    <w:t>HW17 336-064-17</w:t>
                  </w:r>
                </w:p>
              </w:tc>
              <w:tc>
                <w:tcPr>
                  <w:tcW w:w="3423" w:type="dxa"/>
                  <w:tcBorders>
                    <w:left w:val="single" w:color="auto" w:sz="4" w:space="0"/>
                    <w:bottom w:val="single" w:color="auto" w:sz="4" w:space="0"/>
                  </w:tcBorders>
                  <w:noWrap w:val="0"/>
                  <w:vAlign w:val="center"/>
                </w:tcPr>
                <w:p>
                  <w:pPr>
                    <w:pStyle w:val="13"/>
                    <w:jc w:val="both"/>
                    <w:rPr>
                      <w:rFonts w:hint="eastAsia" w:ascii="Times New Roman"/>
                    </w:rPr>
                  </w:pPr>
                  <w:r>
                    <w:rPr>
                      <w:rFonts w:hint="eastAsia" w:ascii="Times New Roman"/>
                    </w:rPr>
                    <w:t>交有资质危险废物处置单位处置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hint="eastAsia" w:ascii="Times New Roman"/>
                    </w:rPr>
                  </w:pPr>
                  <w:r>
                    <w:rPr>
                      <w:rFonts w:hint="eastAsia" w:ascii="Times New Roman"/>
                    </w:rPr>
                    <w:t>4</w:t>
                  </w:r>
                </w:p>
              </w:tc>
              <w:tc>
                <w:tcPr>
                  <w:tcW w:w="1719" w:type="dxa"/>
                  <w:noWrap w:val="0"/>
                  <w:vAlign w:val="center"/>
                </w:tcPr>
                <w:p>
                  <w:pPr>
                    <w:pStyle w:val="13"/>
                    <w:jc w:val="both"/>
                    <w:rPr>
                      <w:rFonts w:hint="eastAsia"/>
                    </w:rPr>
                  </w:pPr>
                  <w:r>
                    <w:rPr>
                      <w:rFonts w:hint="eastAsia"/>
                    </w:rPr>
                    <w:t>热镀锌锌锅锌渣</w:t>
                  </w:r>
                </w:p>
              </w:tc>
              <w:tc>
                <w:tcPr>
                  <w:tcW w:w="1155" w:type="dxa"/>
                  <w:noWrap w:val="0"/>
                  <w:vAlign w:val="center"/>
                </w:tcPr>
                <w:p>
                  <w:pPr>
                    <w:pStyle w:val="13"/>
                    <w:ind w:firstLine="315" w:firstLineChars="150"/>
                    <w:jc w:val="both"/>
                    <w:rPr>
                      <w:rFonts w:ascii="Times New Roman" w:hAnsi="Times New Roman"/>
                    </w:rPr>
                  </w:pPr>
                  <w:r>
                    <w:rPr>
                      <w:rFonts w:ascii="Times New Roman" w:hAnsi="Times New Roman"/>
                    </w:rPr>
                    <w:t>1</w:t>
                  </w:r>
                  <w:r>
                    <w:rPr>
                      <w:rFonts w:hint="eastAsia" w:ascii="Times New Roman" w:hAnsi="Times New Roman"/>
                    </w:rPr>
                    <w:t>8</w:t>
                  </w:r>
                  <w:r>
                    <w:rPr>
                      <w:rFonts w:ascii="Times New Roman" w:hAnsi="Times New Roman"/>
                    </w:rPr>
                    <w:t>t/a</w:t>
                  </w:r>
                </w:p>
              </w:tc>
              <w:tc>
                <w:tcPr>
                  <w:tcW w:w="1530" w:type="dxa"/>
                  <w:tcBorders>
                    <w:right w:val="single" w:color="auto" w:sz="4" w:space="0"/>
                  </w:tcBorders>
                  <w:noWrap w:val="0"/>
                  <w:vAlign w:val="center"/>
                </w:tcPr>
                <w:p>
                  <w:pPr>
                    <w:pStyle w:val="13"/>
                    <w:rPr>
                      <w:rFonts w:ascii="Times New Roman" w:hAnsi="Times New Roman"/>
                    </w:rPr>
                  </w:pPr>
                  <w:r>
                    <w:rPr>
                      <w:rFonts w:ascii="Times New Roman" w:hAnsi="Times New Roman"/>
                    </w:rPr>
                    <w:t>危废编号HW23 336-103-23</w:t>
                  </w:r>
                </w:p>
              </w:tc>
              <w:tc>
                <w:tcPr>
                  <w:tcW w:w="3423" w:type="dxa"/>
                  <w:tcBorders>
                    <w:top w:val="single" w:color="auto" w:sz="4" w:space="0"/>
                    <w:left w:val="single" w:color="auto" w:sz="4" w:space="0"/>
                  </w:tcBorders>
                  <w:noWrap w:val="0"/>
                  <w:vAlign w:val="center"/>
                </w:tcPr>
                <w:p>
                  <w:pPr>
                    <w:spacing w:line="360" w:lineRule="auto"/>
                    <w:ind w:firstLine="315" w:firstLineChars="150"/>
                    <w:rPr>
                      <w:rFonts w:hint="eastAsia" w:hAnsi="宋体"/>
                      <w:sz w:val="24"/>
                    </w:rPr>
                  </w:pPr>
                  <w:r>
                    <w:rPr>
                      <w:rFonts w:hint="eastAsia"/>
                    </w:rPr>
                    <w:t>委托有资质的单位处置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hint="eastAsia" w:ascii="Times New Roman"/>
                    </w:rPr>
                  </w:pPr>
                  <w:r>
                    <w:rPr>
                      <w:rFonts w:hint="eastAsia" w:ascii="Times New Roman"/>
                    </w:rPr>
                    <w:t>5</w:t>
                  </w:r>
                </w:p>
              </w:tc>
              <w:tc>
                <w:tcPr>
                  <w:tcW w:w="1719" w:type="dxa"/>
                  <w:noWrap w:val="0"/>
                  <w:vAlign w:val="center"/>
                </w:tcPr>
                <w:p>
                  <w:pPr>
                    <w:spacing w:line="360" w:lineRule="auto"/>
                    <w:rPr>
                      <w:rFonts w:hint="eastAsia" w:hAnsi="宋体"/>
                      <w:sz w:val="24"/>
                    </w:rPr>
                  </w:pPr>
                  <w:r>
                    <w:rPr>
                      <w:rFonts w:hint="eastAsia"/>
                    </w:rPr>
                    <w:t>布袋除尘器锌灰</w:t>
                  </w:r>
                </w:p>
              </w:tc>
              <w:tc>
                <w:tcPr>
                  <w:tcW w:w="1155" w:type="dxa"/>
                  <w:noWrap w:val="0"/>
                  <w:vAlign w:val="center"/>
                </w:tcPr>
                <w:p>
                  <w:pPr>
                    <w:pStyle w:val="13"/>
                    <w:ind w:firstLine="210" w:firstLineChars="100"/>
                    <w:jc w:val="both"/>
                    <w:rPr>
                      <w:rFonts w:ascii="Times New Roman" w:hAnsi="Times New Roman"/>
                      <w:color w:val="3366FF"/>
                    </w:rPr>
                  </w:pPr>
                  <w:r>
                    <w:rPr>
                      <w:rFonts w:ascii="Times New Roman" w:hAnsi="Times New Roman"/>
                    </w:rPr>
                    <w:t>9.115t/a</w:t>
                  </w:r>
                </w:p>
              </w:tc>
              <w:tc>
                <w:tcPr>
                  <w:tcW w:w="1530" w:type="dxa"/>
                  <w:tcBorders>
                    <w:right w:val="single" w:color="auto" w:sz="4" w:space="0"/>
                  </w:tcBorders>
                  <w:noWrap w:val="0"/>
                  <w:vAlign w:val="center"/>
                </w:tcPr>
                <w:p>
                  <w:pPr>
                    <w:pStyle w:val="13"/>
                    <w:rPr>
                      <w:rFonts w:ascii="Times New Roman" w:hAnsi="Times New Roman"/>
                    </w:rPr>
                  </w:pPr>
                  <w:r>
                    <w:rPr>
                      <w:rFonts w:ascii="Times New Roman"/>
                    </w:rPr>
                    <w:t>危废编号</w:t>
                  </w:r>
                  <w:r>
                    <w:rPr>
                      <w:rFonts w:ascii="Times New Roman" w:hAnsi="Times New Roman"/>
                    </w:rPr>
                    <w:t>HW23 336-103-23</w:t>
                  </w:r>
                </w:p>
              </w:tc>
              <w:tc>
                <w:tcPr>
                  <w:tcW w:w="3423" w:type="dxa"/>
                  <w:tcBorders>
                    <w:left w:val="single" w:color="auto" w:sz="4" w:space="0"/>
                  </w:tcBorders>
                  <w:noWrap w:val="0"/>
                  <w:vAlign w:val="center"/>
                </w:tcPr>
                <w:p>
                  <w:pPr>
                    <w:pStyle w:val="13"/>
                    <w:rPr>
                      <w:rFonts w:ascii="Times New Roman"/>
                    </w:rPr>
                  </w:pPr>
                  <w:r>
                    <w:rPr>
                      <w:rFonts w:hint="eastAsia"/>
                    </w:rPr>
                    <w:t>委托有资质的单位处置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hint="eastAsia" w:ascii="Times New Roman"/>
                    </w:rPr>
                  </w:pPr>
                  <w:r>
                    <w:rPr>
                      <w:rFonts w:hint="eastAsia" w:ascii="Times New Roman"/>
                    </w:rPr>
                    <w:t>6</w:t>
                  </w:r>
                </w:p>
              </w:tc>
              <w:tc>
                <w:tcPr>
                  <w:tcW w:w="1719" w:type="dxa"/>
                  <w:noWrap w:val="0"/>
                  <w:vAlign w:val="center"/>
                </w:tcPr>
                <w:p>
                  <w:pPr>
                    <w:spacing w:line="360" w:lineRule="auto"/>
                    <w:ind w:firstLine="420" w:firstLineChars="200"/>
                    <w:rPr>
                      <w:rFonts w:hint="eastAsia" w:hAnsi="宋体"/>
                      <w:kern w:val="0"/>
                      <w:szCs w:val="21"/>
                    </w:rPr>
                  </w:pPr>
                  <w:r>
                    <w:rPr>
                      <w:rFonts w:hAnsi="宋体"/>
                      <w:kern w:val="0"/>
                      <w:szCs w:val="21"/>
                    </w:rPr>
                    <w:t>废焊丝</w:t>
                  </w:r>
                </w:p>
              </w:tc>
              <w:tc>
                <w:tcPr>
                  <w:tcW w:w="1155" w:type="dxa"/>
                  <w:noWrap w:val="0"/>
                  <w:vAlign w:val="center"/>
                </w:tcPr>
                <w:p>
                  <w:pPr>
                    <w:pStyle w:val="13"/>
                    <w:ind w:firstLine="315" w:firstLineChars="150"/>
                    <w:jc w:val="both"/>
                    <w:rPr>
                      <w:rFonts w:ascii="Times New Roman"/>
                    </w:rPr>
                  </w:pPr>
                  <w:r>
                    <w:rPr>
                      <w:rFonts w:hint="eastAsia" w:ascii="Times New Roman"/>
                    </w:rPr>
                    <w:t>5</w:t>
                  </w:r>
                  <w:r>
                    <w:rPr>
                      <w:rFonts w:ascii="Times New Roman"/>
                    </w:rPr>
                    <w:t>t/a</w:t>
                  </w:r>
                </w:p>
              </w:tc>
              <w:tc>
                <w:tcPr>
                  <w:tcW w:w="1530" w:type="dxa"/>
                  <w:tcBorders>
                    <w:right w:val="single" w:color="auto" w:sz="4" w:space="0"/>
                  </w:tcBorders>
                  <w:noWrap w:val="0"/>
                  <w:vAlign w:val="center"/>
                </w:tcPr>
                <w:p>
                  <w:pPr>
                    <w:pStyle w:val="13"/>
                    <w:rPr>
                      <w:rFonts w:hint="eastAsia" w:ascii="Times New Roman"/>
                    </w:rPr>
                  </w:pPr>
                  <w:r>
                    <w:rPr>
                      <w:rFonts w:hint="eastAsia" w:ascii="Times New Roman"/>
                    </w:rPr>
                    <w:t>一般固废</w:t>
                  </w:r>
                </w:p>
              </w:tc>
              <w:tc>
                <w:tcPr>
                  <w:tcW w:w="3423" w:type="dxa"/>
                  <w:tcBorders>
                    <w:left w:val="single" w:color="auto" w:sz="4" w:space="0"/>
                  </w:tcBorders>
                  <w:noWrap w:val="0"/>
                  <w:vAlign w:val="center"/>
                </w:tcPr>
                <w:p>
                  <w:pPr>
                    <w:spacing w:line="360" w:lineRule="auto"/>
                    <w:ind w:left="239" w:leftChars="114" w:firstLine="105" w:firstLineChars="50"/>
                    <w:rPr>
                      <w:rFonts w:hint="eastAsia" w:hAnsi="宋体"/>
                      <w:kern w:val="0"/>
                      <w:szCs w:val="21"/>
                    </w:rPr>
                  </w:pPr>
                  <w:r>
                    <w:rPr>
                      <w:rFonts w:hint="eastAsia" w:hAnsi="宋体"/>
                      <w:kern w:val="0"/>
                      <w:szCs w:val="21"/>
                    </w:rPr>
                    <w:t>和生活垃圾一并处置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hint="eastAsia" w:ascii="Times New Roman"/>
                    </w:rPr>
                  </w:pPr>
                  <w:r>
                    <w:rPr>
                      <w:rFonts w:hint="eastAsia" w:ascii="Times New Roman"/>
                    </w:rPr>
                    <w:t>7</w:t>
                  </w:r>
                </w:p>
              </w:tc>
              <w:tc>
                <w:tcPr>
                  <w:tcW w:w="1719" w:type="dxa"/>
                  <w:noWrap w:val="0"/>
                  <w:vAlign w:val="center"/>
                </w:tcPr>
                <w:p>
                  <w:pPr>
                    <w:spacing w:line="360" w:lineRule="auto"/>
                    <w:ind w:firstLine="420" w:firstLineChars="200"/>
                    <w:rPr>
                      <w:rFonts w:hint="eastAsia" w:hAnsi="宋体"/>
                      <w:kern w:val="0"/>
                      <w:szCs w:val="21"/>
                    </w:rPr>
                  </w:pPr>
                  <w:r>
                    <w:rPr>
                      <w:rFonts w:hAnsi="宋体"/>
                      <w:kern w:val="0"/>
                      <w:szCs w:val="21"/>
                    </w:rPr>
                    <w:t>废机油</w:t>
                  </w:r>
                </w:p>
              </w:tc>
              <w:tc>
                <w:tcPr>
                  <w:tcW w:w="1155" w:type="dxa"/>
                  <w:noWrap w:val="0"/>
                  <w:vAlign w:val="center"/>
                </w:tcPr>
                <w:p>
                  <w:pPr>
                    <w:pStyle w:val="13"/>
                    <w:ind w:firstLine="210" w:firstLineChars="100"/>
                    <w:jc w:val="both"/>
                    <w:rPr>
                      <w:rFonts w:ascii="Times New Roman"/>
                    </w:rPr>
                  </w:pPr>
                  <w:r>
                    <w:rPr>
                      <w:rFonts w:ascii="Times New Roman"/>
                    </w:rPr>
                    <w:t>0.</w:t>
                  </w:r>
                  <w:r>
                    <w:rPr>
                      <w:rFonts w:hint="eastAsia" w:ascii="Times New Roman"/>
                    </w:rPr>
                    <w:t>2</w:t>
                  </w:r>
                  <w:r>
                    <w:rPr>
                      <w:rFonts w:ascii="Times New Roman"/>
                    </w:rPr>
                    <w:t>t/a</w:t>
                  </w:r>
                </w:p>
              </w:tc>
              <w:tc>
                <w:tcPr>
                  <w:tcW w:w="1530" w:type="dxa"/>
                  <w:tcBorders>
                    <w:right w:val="single" w:color="auto" w:sz="4" w:space="0"/>
                  </w:tcBorders>
                  <w:noWrap w:val="0"/>
                  <w:vAlign w:val="center"/>
                </w:tcPr>
                <w:p>
                  <w:pPr>
                    <w:pStyle w:val="13"/>
                    <w:rPr>
                      <w:rFonts w:ascii="Times New Roman"/>
                    </w:rPr>
                  </w:pPr>
                  <w:r>
                    <w:rPr>
                      <w:rFonts w:ascii="Times New Roman"/>
                    </w:rPr>
                    <w:t>危废编号HW08</w:t>
                  </w:r>
                  <w:r>
                    <w:rPr>
                      <w:rFonts w:hint="eastAsia" w:ascii="Times New Roman"/>
                    </w:rPr>
                    <w:t xml:space="preserve"> </w:t>
                  </w:r>
                  <w:r>
                    <w:rPr>
                      <w:rFonts w:ascii="Times New Roman"/>
                    </w:rPr>
                    <w:t>900-216-08</w:t>
                  </w:r>
                </w:p>
              </w:tc>
              <w:tc>
                <w:tcPr>
                  <w:tcW w:w="3423" w:type="dxa"/>
                  <w:tcBorders>
                    <w:left w:val="single" w:color="auto" w:sz="4" w:space="0"/>
                  </w:tcBorders>
                  <w:noWrap w:val="0"/>
                  <w:vAlign w:val="center"/>
                </w:tcPr>
                <w:p>
                  <w:pPr>
                    <w:pStyle w:val="13"/>
                    <w:rPr>
                      <w:rFonts w:hint="eastAsia" w:ascii="Times New Roman"/>
                    </w:rPr>
                  </w:pPr>
                  <w:r>
                    <w:rPr>
                      <w:rFonts w:hint="eastAsia" w:ascii="Times New Roman"/>
                    </w:rPr>
                    <w:t>委托有资质的单位处置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hint="eastAsia" w:ascii="Times New Roman"/>
                    </w:rPr>
                  </w:pPr>
                  <w:r>
                    <w:rPr>
                      <w:rFonts w:hint="eastAsia" w:ascii="Times New Roman"/>
                    </w:rPr>
                    <w:t>8</w:t>
                  </w:r>
                </w:p>
              </w:tc>
              <w:tc>
                <w:tcPr>
                  <w:tcW w:w="1719" w:type="dxa"/>
                  <w:noWrap w:val="0"/>
                  <w:vAlign w:val="center"/>
                </w:tcPr>
                <w:p>
                  <w:pPr>
                    <w:spacing w:line="360" w:lineRule="auto"/>
                    <w:ind w:firstLine="315" w:firstLineChars="150"/>
                    <w:rPr>
                      <w:rFonts w:hint="eastAsia" w:hAnsi="宋体"/>
                      <w:kern w:val="0"/>
                      <w:szCs w:val="21"/>
                    </w:rPr>
                  </w:pPr>
                  <w:r>
                    <w:rPr>
                      <w:rFonts w:hAnsi="宋体"/>
                      <w:kern w:val="0"/>
                      <w:szCs w:val="21"/>
                    </w:rPr>
                    <w:t>废切削液</w:t>
                  </w:r>
                </w:p>
              </w:tc>
              <w:tc>
                <w:tcPr>
                  <w:tcW w:w="1155" w:type="dxa"/>
                  <w:noWrap w:val="0"/>
                  <w:vAlign w:val="center"/>
                </w:tcPr>
                <w:p>
                  <w:pPr>
                    <w:pStyle w:val="13"/>
                    <w:ind w:firstLine="210" w:firstLineChars="100"/>
                    <w:jc w:val="both"/>
                    <w:rPr>
                      <w:rFonts w:ascii="Times New Roman"/>
                    </w:rPr>
                  </w:pPr>
                  <w:r>
                    <w:rPr>
                      <w:rFonts w:hint="eastAsia" w:ascii="Times New Roman"/>
                    </w:rPr>
                    <w:t>0.2</w:t>
                  </w:r>
                  <w:r>
                    <w:rPr>
                      <w:rFonts w:ascii="Times New Roman"/>
                    </w:rPr>
                    <w:t>t/a</w:t>
                  </w:r>
                </w:p>
              </w:tc>
              <w:tc>
                <w:tcPr>
                  <w:tcW w:w="1530" w:type="dxa"/>
                  <w:tcBorders>
                    <w:right w:val="single" w:color="auto" w:sz="4" w:space="0"/>
                  </w:tcBorders>
                  <w:noWrap w:val="0"/>
                  <w:vAlign w:val="center"/>
                </w:tcPr>
                <w:p>
                  <w:pPr>
                    <w:pStyle w:val="13"/>
                    <w:rPr>
                      <w:rFonts w:ascii="Times New Roman"/>
                    </w:rPr>
                  </w:pPr>
                  <w:r>
                    <w:rPr>
                      <w:rFonts w:ascii="Times New Roman"/>
                    </w:rPr>
                    <w:t>危废编号</w:t>
                  </w:r>
                  <w:r>
                    <w:rPr>
                      <w:rFonts w:ascii="Times New Roman" w:hAnsi="Times New Roman"/>
                    </w:rPr>
                    <w:t>HW09</w:t>
                  </w:r>
                  <w:r>
                    <w:t xml:space="preserve"> </w:t>
                  </w:r>
                  <w:r>
                    <w:rPr>
                      <w:rFonts w:ascii="Times New Roman" w:hAnsi="Times New Roman"/>
                    </w:rPr>
                    <w:t>900-006-09</w:t>
                  </w:r>
                </w:p>
              </w:tc>
              <w:tc>
                <w:tcPr>
                  <w:tcW w:w="3423" w:type="dxa"/>
                  <w:tcBorders>
                    <w:left w:val="single" w:color="auto" w:sz="4" w:space="0"/>
                  </w:tcBorders>
                  <w:noWrap w:val="0"/>
                  <w:vAlign w:val="center"/>
                </w:tcPr>
                <w:p>
                  <w:pPr>
                    <w:pStyle w:val="13"/>
                    <w:rPr>
                      <w:rFonts w:hint="eastAsia" w:ascii="Times New Roman"/>
                    </w:rPr>
                  </w:pPr>
                  <w:r>
                    <w:rPr>
                      <w:rFonts w:hint="eastAsia" w:ascii="Times New Roman"/>
                    </w:rPr>
                    <w:t>委托有资质的单位处置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hint="eastAsia" w:ascii="Times New Roman"/>
                    </w:rPr>
                  </w:pPr>
                  <w:r>
                    <w:rPr>
                      <w:rFonts w:hint="eastAsia" w:ascii="Times New Roman"/>
                    </w:rPr>
                    <w:t>9</w:t>
                  </w:r>
                </w:p>
              </w:tc>
              <w:tc>
                <w:tcPr>
                  <w:tcW w:w="1719" w:type="dxa"/>
                  <w:noWrap w:val="0"/>
                  <w:vAlign w:val="center"/>
                </w:tcPr>
                <w:p>
                  <w:pPr>
                    <w:spacing w:line="360" w:lineRule="auto"/>
                    <w:ind w:firstLine="315" w:firstLineChars="150"/>
                    <w:rPr>
                      <w:kern w:val="0"/>
                      <w:szCs w:val="21"/>
                    </w:rPr>
                  </w:pPr>
                  <w:r>
                    <w:rPr>
                      <w:szCs w:val="21"/>
                    </w:rPr>
                    <w:t>废活性炭</w:t>
                  </w:r>
                </w:p>
              </w:tc>
              <w:tc>
                <w:tcPr>
                  <w:tcW w:w="1155" w:type="dxa"/>
                  <w:noWrap w:val="0"/>
                  <w:vAlign w:val="center"/>
                </w:tcPr>
                <w:p>
                  <w:pPr>
                    <w:pStyle w:val="13"/>
                    <w:ind w:firstLine="210" w:firstLineChars="100"/>
                    <w:jc w:val="both"/>
                    <w:rPr>
                      <w:rFonts w:ascii="Times New Roman" w:hAnsi="Times New Roman"/>
                    </w:rPr>
                  </w:pPr>
                  <w:r>
                    <w:rPr>
                      <w:rFonts w:ascii="Times New Roman" w:hAnsi="Times New Roman"/>
                    </w:rPr>
                    <w:t>0.063t/a</w:t>
                  </w:r>
                </w:p>
              </w:tc>
              <w:tc>
                <w:tcPr>
                  <w:tcW w:w="1530" w:type="dxa"/>
                  <w:tcBorders>
                    <w:right w:val="single" w:color="auto" w:sz="4" w:space="0"/>
                  </w:tcBorders>
                  <w:noWrap w:val="0"/>
                  <w:vAlign w:val="center"/>
                </w:tcPr>
                <w:p>
                  <w:pPr>
                    <w:pStyle w:val="13"/>
                    <w:rPr>
                      <w:rFonts w:ascii="Times New Roman"/>
                    </w:rPr>
                  </w:pPr>
                  <w:r>
                    <w:rPr>
                      <w:rFonts w:ascii="Times New Roman"/>
                    </w:rPr>
                    <w:t>危废编号</w:t>
                  </w:r>
                  <w:r>
                    <w:rPr>
                      <w:rFonts w:ascii="Times New Roman" w:hAnsi="Times New Roman"/>
                    </w:rPr>
                    <w:t>HW06 900-406-06</w:t>
                  </w:r>
                </w:p>
              </w:tc>
              <w:tc>
                <w:tcPr>
                  <w:tcW w:w="3423" w:type="dxa"/>
                  <w:tcBorders>
                    <w:left w:val="single" w:color="auto" w:sz="4" w:space="0"/>
                  </w:tcBorders>
                  <w:noWrap w:val="0"/>
                  <w:vAlign w:val="center"/>
                </w:tcPr>
                <w:p>
                  <w:pPr>
                    <w:pStyle w:val="13"/>
                    <w:rPr>
                      <w:rFonts w:hint="eastAsia" w:ascii="Times New Roman"/>
                    </w:rPr>
                  </w:pPr>
                  <w:r>
                    <w:rPr>
                      <w:rFonts w:ascii="Times New Roman" w:hAnsi="Times New Roman"/>
                    </w:rPr>
                    <w:t>委托有资质的单位处置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hint="eastAsia" w:ascii="Times New Roman"/>
                    </w:rPr>
                  </w:pPr>
                  <w:r>
                    <w:rPr>
                      <w:rFonts w:hint="eastAsia" w:ascii="Times New Roman"/>
                    </w:rPr>
                    <w:t>10</w:t>
                  </w:r>
                </w:p>
              </w:tc>
              <w:tc>
                <w:tcPr>
                  <w:tcW w:w="1719" w:type="dxa"/>
                  <w:noWrap w:val="0"/>
                  <w:vAlign w:val="center"/>
                </w:tcPr>
                <w:p>
                  <w:pPr>
                    <w:pStyle w:val="13"/>
                    <w:ind w:firstLine="315" w:firstLineChars="150"/>
                    <w:jc w:val="both"/>
                    <w:rPr>
                      <w:rFonts w:ascii="Times New Roman"/>
                    </w:rPr>
                  </w:pPr>
                  <w:r>
                    <w:rPr>
                      <w:rFonts w:hint="eastAsia"/>
                    </w:rPr>
                    <w:t>废包装物</w:t>
                  </w:r>
                </w:p>
              </w:tc>
              <w:tc>
                <w:tcPr>
                  <w:tcW w:w="1155" w:type="dxa"/>
                  <w:noWrap w:val="0"/>
                  <w:vAlign w:val="center"/>
                </w:tcPr>
                <w:p>
                  <w:pPr>
                    <w:pStyle w:val="13"/>
                    <w:jc w:val="both"/>
                    <w:rPr>
                      <w:rFonts w:ascii="Times New Roman" w:hAnsi="Times New Roman"/>
                    </w:rPr>
                  </w:pPr>
                  <w:r>
                    <w:rPr>
                      <w:rFonts w:ascii="Times New Roman"/>
                    </w:rPr>
                    <w:t>包装袋</w:t>
                  </w:r>
                  <w:r>
                    <w:rPr>
                      <w:rFonts w:ascii="Times New Roman" w:hAnsi="Times New Roman"/>
                    </w:rPr>
                    <w:t>3400</w:t>
                  </w:r>
                  <w:r>
                    <w:rPr>
                      <w:rFonts w:ascii="Times New Roman"/>
                    </w:rPr>
                    <w:t>个，废桶</w:t>
                  </w:r>
                  <w:r>
                    <w:rPr>
                      <w:rFonts w:hint="eastAsia" w:ascii="Times New Roman" w:hAnsi="Times New Roman"/>
                    </w:rPr>
                    <w:t>1012</w:t>
                  </w:r>
                  <w:r>
                    <w:rPr>
                      <w:rFonts w:ascii="Times New Roman"/>
                    </w:rPr>
                    <w:t>个</w:t>
                  </w:r>
                </w:p>
              </w:tc>
              <w:tc>
                <w:tcPr>
                  <w:tcW w:w="1530" w:type="dxa"/>
                  <w:tcBorders>
                    <w:right w:val="single" w:color="auto" w:sz="4" w:space="0"/>
                  </w:tcBorders>
                  <w:noWrap w:val="0"/>
                  <w:vAlign w:val="center"/>
                </w:tcPr>
                <w:p>
                  <w:pPr>
                    <w:pStyle w:val="13"/>
                    <w:rPr>
                      <w:rFonts w:hint="eastAsia" w:ascii="Times New Roman" w:hAnsi="Times New Roman"/>
                    </w:rPr>
                  </w:pPr>
                  <w:r>
                    <w:rPr>
                      <w:rFonts w:hint="eastAsia" w:ascii="Times New Roman"/>
                    </w:rPr>
                    <w:t>/</w:t>
                  </w:r>
                </w:p>
              </w:tc>
              <w:tc>
                <w:tcPr>
                  <w:tcW w:w="3423" w:type="dxa"/>
                  <w:tcBorders>
                    <w:left w:val="single" w:color="auto" w:sz="4" w:space="0"/>
                  </w:tcBorders>
                  <w:noWrap w:val="0"/>
                  <w:vAlign w:val="center"/>
                </w:tcPr>
                <w:p>
                  <w:pPr>
                    <w:pStyle w:val="13"/>
                    <w:rPr>
                      <w:rFonts w:ascii="Times New Roman"/>
                    </w:rPr>
                  </w:pPr>
                  <w:r>
                    <w:rPr>
                      <w:rFonts w:hint="eastAsia"/>
                    </w:rPr>
                    <w:t>由厂家回收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78" w:type="dxa"/>
                  <w:noWrap w:val="0"/>
                  <w:vAlign w:val="center"/>
                </w:tcPr>
                <w:p>
                  <w:pPr>
                    <w:pStyle w:val="13"/>
                    <w:rPr>
                      <w:rFonts w:hint="eastAsia" w:ascii="Times New Roman"/>
                    </w:rPr>
                  </w:pPr>
                  <w:r>
                    <w:rPr>
                      <w:rFonts w:hint="eastAsia" w:ascii="Times New Roman"/>
                    </w:rPr>
                    <w:t>11</w:t>
                  </w:r>
                </w:p>
              </w:tc>
              <w:tc>
                <w:tcPr>
                  <w:tcW w:w="1719" w:type="dxa"/>
                  <w:noWrap w:val="0"/>
                  <w:vAlign w:val="center"/>
                </w:tcPr>
                <w:p>
                  <w:pPr>
                    <w:pStyle w:val="13"/>
                    <w:ind w:firstLine="315" w:firstLineChars="150"/>
                    <w:jc w:val="both"/>
                    <w:rPr>
                      <w:rFonts w:ascii="Times New Roman"/>
                    </w:rPr>
                  </w:pPr>
                  <w:r>
                    <w:rPr>
                      <w:rFonts w:hint="eastAsia"/>
                    </w:rPr>
                    <w:t>生活垃圾</w:t>
                  </w:r>
                </w:p>
              </w:tc>
              <w:tc>
                <w:tcPr>
                  <w:tcW w:w="1155" w:type="dxa"/>
                  <w:noWrap w:val="0"/>
                  <w:vAlign w:val="center"/>
                </w:tcPr>
                <w:p>
                  <w:pPr>
                    <w:pStyle w:val="13"/>
                    <w:ind w:firstLine="315" w:firstLineChars="150"/>
                    <w:jc w:val="both"/>
                    <w:rPr>
                      <w:rFonts w:ascii="Times New Roman" w:hAnsi="Times New Roman"/>
                    </w:rPr>
                  </w:pPr>
                  <w:r>
                    <w:rPr>
                      <w:rFonts w:hint="eastAsia" w:ascii="Times New Roman" w:hAnsi="Times New Roman"/>
                    </w:rPr>
                    <w:t>15</w:t>
                  </w:r>
                  <w:r>
                    <w:rPr>
                      <w:rFonts w:ascii="Times New Roman" w:hAnsi="Times New Roman"/>
                    </w:rPr>
                    <w:t>t/a</w:t>
                  </w:r>
                </w:p>
              </w:tc>
              <w:tc>
                <w:tcPr>
                  <w:tcW w:w="1530" w:type="dxa"/>
                  <w:tcBorders>
                    <w:right w:val="single" w:color="auto" w:sz="4" w:space="0"/>
                  </w:tcBorders>
                  <w:noWrap w:val="0"/>
                  <w:vAlign w:val="center"/>
                </w:tcPr>
                <w:p>
                  <w:pPr>
                    <w:pStyle w:val="13"/>
                    <w:rPr>
                      <w:rFonts w:ascii="Times New Roman" w:hAnsi="Times New Roman"/>
                    </w:rPr>
                  </w:pPr>
                  <w:r>
                    <w:rPr>
                      <w:rFonts w:ascii="Times New Roman"/>
                    </w:rPr>
                    <w:t>一般固废</w:t>
                  </w:r>
                </w:p>
              </w:tc>
              <w:tc>
                <w:tcPr>
                  <w:tcW w:w="3423" w:type="dxa"/>
                  <w:tcBorders>
                    <w:left w:val="single" w:color="auto" w:sz="4" w:space="0"/>
                  </w:tcBorders>
                  <w:noWrap w:val="0"/>
                  <w:vAlign w:val="center"/>
                </w:tcPr>
                <w:p>
                  <w:pPr>
                    <w:pStyle w:val="13"/>
                    <w:rPr>
                      <w:rFonts w:ascii="Times New Roman"/>
                    </w:rPr>
                  </w:pPr>
                  <w:r>
                    <w:t>分类收集、定点贮存、及时外运</w:t>
                  </w:r>
                  <w:r>
                    <w:rPr>
                      <w:rFonts w:hint="eastAsia"/>
                    </w:rPr>
                    <w:t>与常德经开区</w:t>
                  </w:r>
                  <w:r>
                    <w:t>生活垃圾一并处置</w:t>
                  </w:r>
                </w:p>
              </w:tc>
            </w:tr>
          </w:tbl>
          <w:p>
            <w:pPr>
              <w:pStyle w:val="12"/>
              <w:rPr>
                <w:rFonts w:hint="eastAsia"/>
              </w:rPr>
            </w:pPr>
            <w:r>
              <w:t>因此本工程产生的固体废弃物皆可得到合理化处置，不会造成二次污染，对周围环境基本不会造成污染影响。</w:t>
            </w:r>
          </w:p>
          <w:p>
            <w:pPr>
              <w:pStyle w:val="12"/>
              <w:rPr>
                <w:rFonts w:hint="eastAsia"/>
                <w:u w:val="none"/>
              </w:rPr>
            </w:pPr>
            <w:r>
              <w:rPr>
                <w:rFonts w:hint="eastAsia"/>
                <w:u w:val="none"/>
              </w:rPr>
              <w:t>本项目酸洗新增污染物盐酸雾通过工艺上的改进，采用酸雾抑制剂，可减少盐酸雾的产生；通过酸洗槽、助镀槽区域进行相对密闭，对无组织废气氯化氢、氨气收集后处理，可减少以上废气无组织排放量；热镀锌车间氨气、氯化氢通过</w:t>
            </w:r>
            <w:r>
              <w:rPr>
                <w:u w:val="none"/>
              </w:rPr>
              <w:t>集气罩+二级碱液喷淋塔</w:t>
            </w:r>
            <w:r>
              <w:rPr>
                <w:rFonts w:hint="eastAsia"/>
                <w:u w:val="none"/>
              </w:rPr>
              <w:t>处理可实现达标排放，在正常、非正常排放情况下，</w:t>
            </w:r>
            <w:r>
              <w:rPr>
                <w:rFonts w:hint="eastAsia" w:hAnsi="Times New Roman"/>
                <w:u w:val="none"/>
              </w:rPr>
              <w:t>氯化氢、氨气对</w:t>
            </w:r>
            <w:r>
              <w:rPr>
                <w:rFonts w:hint="eastAsia"/>
                <w:bCs/>
                <w:u w:val="none"/>
              </w:rPr>
              <w:t>枫树岗安置小区影响较小</w:t>
            </w:r>
            <w:r>
              <w:rPr>
                <w:rFonts w:hint="eastAsia" w:hAnsi="Times New Roman"/>
                <w:u w:val="none"/>
              </w:rPr>
              <w:t>，项目建设可行。</w:t>
            </w:r>
            <w:bookmarkStart w:id="0" w:name="_GoBack"/>
            <w:bookmarkEnd w:id="0"/>
          </w:p>
          <w:p>
            <w:pPr>
              <w:keepNext w:val="0"/>
              <w:keepLines w:val="0"/>
              <w:pageBreakBefore w:val="0"/>
              <w:kinsoku/>
              <w:wordWrap/>
              <w:overflowPunct/>
              <w:topLinePunct w:val="0"/>
              <w:bidi w:val="0"/>
              <w:adjustRightInd/>
              <w:snapToGrid/>
              <w:spacing w:line="348" w:lineRule="auto"/>
              <w:ind w:firstLine="480" w:firstLineChars="200"/>
              <w:jc w:val="left"/>
              <w:textAlignment w:val="auto"/>
              <w:rPr>
                <w:rFonts w:hint="eastAsia" w:asciiTheme="minorEastAsia" w:hAnsiTheme="minorEastAsia" w:eastAsiaTheme="minorEastAsia" w:cstheme="minorEastAsia"/>
                <w:sz w:val="24"/>
                <w:szCs w:val="24"/>
              </w:rPr>
            </w:pPr>
          </w:p>
        </w:tc>
      </w:tr>
    </w:tbl>
    <w:p>
      <w:pPr>
        <w:rPr>
          <w:rFonts w:hint="eastAsia"/>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1"/>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17"/>
    <w:rsid w:val="00D55CE9"/>
    <w:rsid w:val="00F17517"/>
    <w:rsid w:val="00F74EA2"/>
    <w:rsid w:val="07FF1C93"/>
    <w:rsid w:val="08FC3892"/>
    <w:rsid w:val="0A4A131E"/>
    <w:rsid w:val="0B0649D8"/>
    <w:rsid w:val="0BCB5B78"/>
    <w:rsid w:val="0F1D0D5E"/>
    <w:rsid w:val="0F6C195B"/>
    <w:rsid w:val="18237049"/>
    <w:rsid w:val="1E48435D"/>
    <w:rsid w:val="24F5350C"/>
    <w:rsid w:val="2500404A"/>
    <w:rsid w:val="25A76A75"/>
    <w:rsid w:val="27D80095"/>
    <w:rsid w:val="28531F58"/>
    <w:rsid w:val="2D07298A"/>
    <w:rsid w:val="2E3C1663"/>
    <w:rsid w:val="355556C4"/>
    <w:rsid w:val="3C0027E3"/>
    <w:rsid w:val="4132725A"/>
    <w:rsid w:val="43EF0FE7"/>
    <w:rsid w:val="447E4453"/>
    <w:rsid w:val="45DF1F68"/>
    <w:rsid w:val="47413374"/>
    <w:rsid w:val="52F03E20"/>
    <w:rsid w:val="561F1D9E"/>
    <w:rsid w:val="562A018F"/>
    <w:rsid w:val="5C287ABE"/>
    <w:rsid w:val="674B35A8"/>
    <w:rsid w:val="68901BC6"/>
    <w:rsid w:val="6B831F36"/>
    <w:rsid w:val="6C117F36"/>
    <w:rsid w:val="72FC199D"/>
    <w:rsid w:val="75AB6230"/>
    <w:rsid w:val="78D4280E"/>
    <w:rsid w:val="7CC861BD"/>
    <w:rsid w:val="7DD00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line="360" w:lineRule="auto"/>
      <w:jc w:val="left"/>
      <w:outlineLvl w:val="2"/>
    </w:pPr>
    <w:rPr>
      <w:rFonts w:ascii="宋体" w:hAnsi="宋体" w:cs="Times New Roman"/>
      <w:b/>
      <w:color w:val="000000"/>
      <w:sz w:val="2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rPr>
      <w:spacing w:val="20"/>
      <w:kern w:val="0"/>
      <w:sz w:val="20"/>
      <w:szCs w:val="20"/>
      <w:u w:val="single"/>
    </w:rPr>
  </w:style>
  <w:style w:type="paragraph" w:styleId="4">
    <w:name w:val="Body Text Indent"/>
    <w:basedOn w:val="1"/>
    <w:qFormat/>
    <w:uiPriority w:val="0"/>
    <w:pPr>
      <w:spacing w:after="120" w:afterLines="0"/>
      <w:ind w:left="420" w:leftChars="200"/>
    </w:p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10">
    <w:name w:val="zhang正文"/>
    <w:basedOn w:val="4"/>
    <w:qFormat/>
    <w:uiPriority w:val="0"/>
    <w:pPr>
      <w:autoSpaceDE w:val="0"/>
      <w:autoSpaceDN w:val="0"/>
      <w:adjustRightInd/>
      <w:snapToGrid/>
      <w:spacing w:after="0" w:afterLines="0" w:line="360" w:lineRule="auto"/>
      <w:ind w:left="0" w:leftChars="0" w:firstLine="1446"/>
      <w:textAlignment w:val="baseline"/>
    </w:pPr>
    <w:rPr>
      <w:kern w:val="0"/>
      <w:sz w:val="24"/>
      <w:szCs w:val="20"/>
    </w:rPr>
  </w:style>
  <w:style w:type="paragraph" w:customStyle="1" w:styleId="11">
    <w:name w:val="报告表正文"/>
    <w:basedOn w:val="1"/>
    <w:qFormat/>
    <w:uiPriority w:val="0"/>
    <w:pPr>
      <w:spacing w:line="600" w:lineRule="exact"/>
      <w:ind w:firstLine="560" w:firstLineChars="200"/>
    </w:pPr>
    <w:rPr>
      <w:rFonts w:ascii="宋体" w:hAnsi="宋体"/>
      <w:sz w:val="28"/>
      <w:szCs w:val="28"/>
    </w:rPr>
  </w:style>
  <w:style w:type="paragraph" w:customStyle="1" w:styleId="12">
    <w:name w:val="标准正文"/>
    <w:basedOn w:val="1"/>
    <w:qFormat/>
    <w:uiPriority w:val="0"/>
    <w:pPr>
      <w:spacing w:line="360" w:lineRule="auto"/>
      <w:ind w:firstLine="480" w:firstLineChars="200"/>
    </w:pPr>
    <w:rPr>
      <w:rFonts w:hAnsi="宋体"/>
      <w:sz w:val="24"/>
    </w:rPr>
  </w:style>
  <w:style w:type="paragraph" w:customStyle="1" w:styleId="13">
    <w:name w:val="表格文字1"/>
    <w:basedOn w:val="1"/>
    <w:qFormat/>
    <w:uiPriority w:val="0"/>
    <w:pPr>
      <w:adjustRightInd w:val="0"/>
      <w:snapToGrid w:val="0"/>
      <w:jc w:val="center"/>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Words>
  <Characters>255</Characters>
  <Lines>2</Lines>
  <Paragraphs>1</Paragraphs>
  <TotalTime>3</TotalTime>
  <ScaleCrop>false</ScaleCrop>
  <LinksUpToDate>false</LinksUpToDate>
  <CharactersWithSpaces>298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2019-06-03T00:57:00Z</dcterms:created>
  <dc:creator>AutoBVT</dc:creator>
  <cp:lastModifiedBy>Administrator</cp:lastModifiedBy>
  <dcterms:modified xsi:type="dcterms:W3CDTF">2019-07-17T07:44:23Z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