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Cs w:val="32"/>
        </w:rPr>
      </w:pPr>
      <w:r>
        <w:rPr>
          <w:rFonts w:hAnsi="黑体" w:eastAsia="黑体"/>
          <w:color w:val="000000"/>
          <w:kern w:val="0"/>
          <w:szCs w:val="32"/>
        </w:rPr>
        <w:t>附件</w:t>
      </w:r>
      <w:r>
        <w:rPr>
          <w:rFonts w:eastAsia="黑体"/>
          <w:color w:val="000000"/>
          <w:kern w:val="0"/>
          <w:szCs w:val="32"/>
        </w:rPr>
        <w:t>3</w:t>
      </w:r>
    </w:p>
    <w:p>
      <w:pPr>
        <w:spacing w:line="600" w:lineRule="exact"/>
        <w:ind w:firstLine="624" w:firstLineChars="200"/>
        <w:rPr>
          <w:rFonts w:hint="eastAsia" w:eastAsia="仿宋_GB2312"/>
          <w:color w:val="000000"/>
          <w:kern w:val="0"/>
          <w:szCs w:val="32"/>
        </w:rPr>
      </w:pPr>
    </w:p>
    <w:p>
      <w:pPr>
        <w:spacing w:after="287" w:afterLines="50" w:line="6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工作任务责任分工表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59"/>
        <w:gridCol w:w="1538"/>
        <w:gridCol w:w="5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工作任务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省级牵头责任部门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省级责任部门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促进源头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减量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省工业和信息化厅、省住房城乡建设厅、省农业农村厅、省商务厅、省文化和旅游厅、省市场监管局、省机关事务局、省邮政管理局、省供销合作总社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规范分类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投放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加强分类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收集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省商务厅、省市场监管局、省供销合作总社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配套分类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运输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省公安厅、省生态环境厅、省交通运输厅、省供销合作总社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提高可回收物回收利用水平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省商务厅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省发展改革委、省工业和信息化厅、省生态环境厅、省住房城乡建设厅、省供销合作总社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规范收集处理有害垃圾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省生态环境厅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省供销合作总社、省住房城乡建设厅、省交通运输厅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有效处理餐厨垃圾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省发展改革委、省工业和信息化厅、省公安厅、省生态环境厅、省农业农村厅、省商务厅、省市场监管局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相对集中处理园林绿化垃圾和厨余垃圾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省工业和信息化厅、省教育厅、省农业农村厅、省商务厅、省机关事务局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促进建筑垃圾资源化利用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省发展改革委、省工业和信息化厅、省商务厅、省供销合作总社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公共机构率先示范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省机关事务局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省教育厅、省卫生健康委、省住房城乡建设厅、省市场监管局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夯实学校教育基础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省教育厅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省住房城乡建设厅、省机关事务局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开展青少年志愿活动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团省委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省住房城乡建设厅、省机关事务局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动员家庭积极参与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省妇联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建设示范片区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省发展改革委、省生态环境厅、省供销合作总社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广泛宣传发动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省委宣传部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省住房城乡建设厅、省教育厅、省交通运输厅、省商务厅、省卫生健康委、省市场监管局、省广电局、省机关事务局、省总工会、省供销合作总社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创新体制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机制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省发展改革委、省财政厅、省生态环境厅、省商务厅、省供销合作总社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强化组织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保障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省发展改革委、省生态环境厅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制定实施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方案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落实资金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保障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省财政厅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省发展改革委、省财政厅、省住房城乡建设厅、省机关事务局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强化绩效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考评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省住房城乡建设厅、省绩效办、省委财经办</w:t>
            </w:r>
          </w:p>
        </w:tc>
        <w:tc>
          <w:tcPr>
            <w:tcW w:w="540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  <w:t>省住房城乡建设厅、省绩效办、省委财经办、省生态环境厅、省文化和旅游厅、省卫生健康委、省市场监管局、省机关事务局、省文明办、省供销合作总社等部门分别负责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</w:tbl>
    <w:p>
      <w:pPr>
        <w:ind w:left="624" w:hanging="624" w:hangingChars="200"/>
        <w:outlineLvl w:val="0"/>
      </w:pPr>
      <w:r>
        <w:rPr>
          <w:rFonts w:hint="eastAsia" w:ascii="楷体_GB2312" w:eastAsia="楷体_GB2312"/>
          <w:color w:val="000000"/>
          <w:kern w:val="32"/>
          <w:szCs w:val="32"/>
        </w:rPr>
        <w:t>注：地级城市、吉首市党委和政府要落实生活垃圾分类工作主体责任，做好上述工作。</w:t>
      </w:r>
    </w:p>
    <w:sectPr>
      <w:footerReference r:id="rId3" w:type="default"/>
      <w:footerReference r:id="rId4" w:type="even"/>
      <w:pgSz w:w="11907" w:h="16840"/>
      <w:pgMar w:top="1701" w:right="1418" w:bottom="1418" w:left="1418" w:header="851" w:footer="992" w:gutter="0"/>
      <w:cols w:space="720" w:num="1"/>
      <w:docGrid w:type="linesAndChars" w:linePitch="57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left="320" w:leftChars="100" w:right="320" w:rightChars="10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0F64"/>
    <w:rsid w:val="024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2020-06-11T09:22:00Z</dcterms:created>
  <dc:creator>Van</dc:creator>
  <cp:lastModifiedBy>Van</cp:lastModifiedBy>
  <dcterms:modified xsi:type="dcterms:W3CDTF">2020-06-11T09:23:13Z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